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92CDDC"/>
  <w:body>
    <w:p>
      <w:pPr>
        <w:adjustRightInd w:val="0"/>
        <w:snapToGrid w:val="0"/>
        <w:spacing w:line="360" w:lineRule="auto"/>
        <w:jc w:val="center"/>
        <w:outlineLvl w:val="0"/>
        <w:rPr>
          <w:rFonts w:hint="eastAsia" w:eastAsia="方正小标宋简体" w:cs="Times New Roman"/>
          <w:color w:val="000000"/>
          <w:sz w:val="54"/>
          <w:szCs w:val="54"/>
        </w:rPr>
      </w:pPr>
    </w:p>
    <w:p>
      <w:pPr>
        <w:adjustRightInd w:val="0"/>
        <w:snapToGrid w:val="0"/>
        <w:spacing w:line="360" w:lineRule="auto"/>
        <w:jc w:val="center"/>
        <w:outlineLvl w:val="0"/>
        <w:rPr>
          <w:rFonts w:hint="eastAsia" w:eastAsia="方正小标宋简体" w:cs="Times New Roman"/>
          <w:color w:val="000000"/>
          <w:sz w:val="54"/>
          <w:szCs w:val="54"/>
        </w:rPr>
      </w:pPr>
    </w:p>
    <w:p>
      <w:pPr>
        <w:pStyle w:val="2"/>
        <w:spacing w:before="173"/>
        <w:rPr>
          <w:rFonts w:hint="eastAsia"/>
        </w:rPr>
      </w:pPr>
    </w:p>
    <w:p>
      <w:pPr>
        <w:adjustRightInd w:val="0"/>
        <w:snapToGrid w:val="0"/>
        <w:spacing w:line="360" w:lineRule="auto"/>
        <w:jc w:val="center"/>
        <w:outlineLvl w:val="0"/>
        <w:rPr>
          <w:rFonts w:eastAsia="方正小标宋简体" w:cs="Times New Roman"/>
          <w:color w:val="000000"/>
          <w:sz w:val="54"/>
          <w:szCs w:val="54"/>
        </w:rPr>
      </w:pPr>
      <w:bookmarkStart w:id="0" w:name="_Toc81232242"/>
      <w:r>
        <w:rPr>
          <w:rFonts w:eastAsia="方正小标宋简体" w:cs="Times New Roman"/>
          <w:color w:val="000000"/>
          <w:sz w:val="54"/>
          <w:szCs w:val="54"/>
        </w:rPr>
        <w:t>20</w:t>
      </w:r>
      <w:r>
        <w:rPr>
          <w:rFonts w:hint="eastAsia" w:eastAsia="方正小标宋简体" w:cs="Times New Roman"/>
          <w:color w:val="000000"/>
          <w:sz w:val="54"/>
          <w:szCs w:val="54"/>
        </w:rPr>
        <w:t>20</w:t>
      </w:r>
      <w:r>
        <w:rPr>
          <w:rFonts w:eastAsia="方正小标宋简体" w:cs="Times New Roman"/>
          <w:color w:val="000000"/>
          <w:sz w:val="54"/>
          <w:szCs w:val="54"/>
        </w:rPr>
        <w:t>年度</w:t>
      </w:r>
      <w:bookmarkEnd w:id="0"/>
    </w:p>
    <w:p>
      <w:pPr>
        <w:adjustRightInd w:val="0"/>
        <w:snapToGrid w:val="0"/>
        <w:spacing w:line="360" w:lineRule="auto"/>
        <w:jc w:val="center"/>
        <w:outlineLvl w:val="0"/>
        <w:rPr>
          <w:rFonts w:hint="eastAsia" w:eastAsia="方正小标宋简体" w:cs="Times New Roman"/>
          <w:color w:val="000000"/>
          <w:sz w:val="54"/>
          <w:szCs w:val="54"/>
        </w:rPr>
      </w:pPr>
      <w:bookmarkStart w:id="1" w:name="_Toc15377194"/>
      <w:bookmarkStart w:id="2" w:name="_Toc15377426"/>
      <w:bookmarkStart w:id="3" w:name="_Toc15306268"/>
      <w:bookmarkStart w:id="4" w:name="_Toc80806101"/>
      <w:bookmarkStart w:id="5" w:name="_Toc15396598"/>
      <w:bookmarkStart w:id="6" w:name="_Toc15396476"/>
      <w:bookmarkStart w:id="7" w:name="_Toc15378442"/>
      <w:bookmarkStart w:id="8" w:name="_Toc80805968"/>
      <w:bookmarkStart w:id="9" w:name="_Toc81232243"/>
      <w:bookmarkStart w:id="10" w:name="_Toc16154356"/>
      <w:r>
        <w:rPr>
          <w:rFonts w:hint="eastAsia" w:eastAsia="方正小标宋简体" w:cs="Times New Roman"/>
          <w:color w:val="000000"/>
          <w:sz w:val="54"/>
          <w:szCs w:val="54"/>
        </w:rPr>
        <w:t>四川省事业单位登记局</w:t>
      </w:r>
    </w:p>
    <w:p>
      <w:pPr>
        <w:adjustRightInd w:val="0"/>
        <w:snapToGrid w:val="0"/>
        <w:spacing w:line="360" w:lineRule="auto"/>
        <w:jc w:val="center"/>
        <w:outlineLvl w:val="0"/>
        <w:rPr>
          <w:rFonts w:hint="eastAsia" w:eastAsia="方正小标宋简体" w:cs="Times New Roman"/>
          <w:color w:val="000000"/>
          <w:sz w:val="54"/>
          <w:szCs w:val="54"/>
        </w:rPr>
      </w:pPr>
      <w:r>
        <w:rPr>
          <w:rFonts w:eastAsia="方正小标宋简体" w:cs="Times New Roman"/>
          <w:color w:val="000000"/>
          <w:sz w:val="54"/>
          <w:szCs w:val="54"/>
        </w:rPr>
        <w:t>决算</w:t>
      </w:r>
      <w:bookmarkEnd w:id="1"/>
      <w:bookmarkEnd w:id="2"/>
      <w:bookmarkEnd w:id="3"/>
      <w:bookmarkEnd w:id="4"/>
      <w:bookmarkEnd w:id="5"/>
      <w:bookmarkEnd w:id="6"/>
      <w:bookmarkEnd w:id="7"/>
      <w:bookmarkEnd w:id="8"/>
      <w:bookmarkEnd w:id="9"/>
      <w:bookmarkEnd w:id="10"/>
      <w:r>
        <w:rPr>
          <w:rFonts w:hint="eastAsia" w:eastAsia="方正小标宋简体" w:cs="Times New Roman"/>
          <w:color w:val="000000"/>
          <w:sz w:val="54"/>
          <w:szCs w:val="54"/>
        </w:rPr>
        <w:t>说明</w:t>
      </w:r>
    </w:p>
    <w:p>
      <w:pPr>
        <w:rPr>
          <w:rFonts w:hint="eastAsia"/>
        </w:rPr>
      </w:pPr>
    </w:p>
    <w:p>
      <w:pPr>
        <w:pStyle w:val="2"/>
        <w:spacing w:before="173"/>
        <w:rPr>
          <w:rFonts w:hint="eastAsia"/>
        </w:rPr>
      </w:pPr>
    </w:p>
    <w:p>
      <w:pPr>
        <w:pStyle w:val="2"/>
        <w:spacing w:before="173"/>
        <w:rPr>
          <w:rFonts w:hint="eastAsia"/>
        </w:rPr>
      </w:pPr>
    </w:p>
    <w:p>
      <w:pPr>
        <w:pStyle w:val="2"/>
        <w:spacing w:before="173"/>
        <w:rPr>
          <w:rFonts w:hint="eastAsia"/>
        </w:rPr>
      </w:pPr>
    </w:p>
    <w:p>
      <w:pPr>
        <w:pStyle w:val="2"/>
        <w:spacing w:before="173"/>
        <w:rPr>
          <w:rFonts w:hint="eastAsia"/>
        </w:rPr>
      </w:pPr>
    </w:p>
    <w:p>
      <w:pPr>
        <w:pStyle w:val="2"/>
        <w:spacing w:before="173"/>
        <w:rPr>
          <w:rFonts w:hint="eastAsia"/>
        </w:rPr>
      </w:pPr>
    </w:p>
    <w:p>
      <w:pPr>
        <w:pStyle w:val="2"/>
        <w:spacing w:before="173"/>
        <w:rPr>
          <w:rFonts w:hint="eastAsia"/>
        </w:rPr>
      </w:pPr>
    </w:p>
    <w:p>
      <w:pPr>
        <w:pStyle w:val="2"/>
        <w:spacing w:before="173"/>
        <w:rPr>
          <w:rFonts w:hint="eastAsia"/>
        </w:rPr>
      </w:pPr>
    </w:p>
    <w:p>
      <w:pPr>
        <w:pStyle w:val="28"/>
        <w:jc w:val="center"/>
        <w:rPr>
          <w:rFonts w:hint="eastAsia" w:ascii="黑体" w:hAnsi="黑体" w:eastAsia="黑体"/>
          <w:color w:val="000000"/>
          <w:sz w:val="44"/>
          <w:szCs w:val="44"/>
          <w:lang w:val="zh-CN"/>
        </w:rPr>
      </w:pPr>
      <w:r>
        <w:rPr>
          <w:rFonts w:ascii="黑体" w:hAnsi="黑体" w:eastAsia="黑体"/>
          <w:color w:val="000000"/>
          <w:sz w:val="44"/>
          <w:szCs w:val="44"/>
          <w:lang w:val="zh-CN"/>
        </w:rPr>
        <w:t>目</w:t>
      </w:r>
      <w:r>
        <w:rPr>
          <w:rFonts w:hint="eastAsia" w:ascii="黑体" w:hAnsi="黑体" w:eastAsia="黑体"/>
          <w:color w:val="000000"/>
          <w:sz w:val="44"/>
          <w:szCs w:val="44"/>
          <w:lang w:val="zh-CN"/>
        </w:rPr>
        <w:t xml:space="preserve"> </w:t>
      </w:r>
      <w:r>
        <w:rPr>
          <w:rFonts w:ascii="黑体" w:hAnsi="黑体" w:eastAsia="黑体"/>
          <w:color w:val="000000"/>
          <w:sz w:val="44"/>
          <w:szCs w:val="44"/>
          <w:lang w:val="zh-CN"/>
        </w:rPr>
        <w:t>录</w:t>
      </w:r>
    </w:p>
    <w:p>
      <w:pPr>
        <w:rPr>
          <w:rFonts w:hint="eastAsia"/>
          <w:lang w:val="zh-CN"/>
        </w:rPr>
      </w:pPr>
    </w:p>
    <w:p>
      <w:pPr>
        <w:jc w:val="center"/>
        <w:rPr>
          <w:rFonts w:hint="eastAsia" w:ascii="仿宋" w:hAnsi="仿宋" w:eastAsia="仿宋" w:cs="Times New Roman"/>
          <w:kern w:val="0"/>
          <w:sz w:val="30"/>
          <w:szCs w:val="30"/>
        </w:rPr>
      </w:pPr>
      <w:r>
        <w:rPr>
          <w:rFonts w:hint="eastAsia" w:ascii="仿宋" w:hAnsi="仿宋" w:eastAsia="仿宋" w:cs="Times New Roman"/>
          <w:kern w:val="0"/>
          <w:sz w:val="30"/>
          <w:szCs w:val="30"/>
        </w:rPr>
        <w:t>公开时间：2021年9月10日</w:t>
      </w:r>
    </w:p>
    <w:p>
      <w:pPr>
        <w:pStyle w:val="9"/>
        <w:spacing w:before="173"/>
        <w:rPr>
          <w:rFonts w:ascii="黑体" w:hAnsi="黑体" w:eastAsia="黑体"/>
          <w:sz w:val="21"/>
          <w:szCs w:val="22"/>
          <w:lang w:val="en-US" w:eastAsia="zh-CN"/>
        </w:rPr>
      </w:pPr>
      <w:r>
        <w:rPr>
          <w:rFonts w:ascii="黑体" w:hAnsi="黑体" w:eastAsia="黑体"/>
          <w:lang w:eastAsia="zh-CN"/>
        </w:rPr>
        <w:fldChar w:fldCharType="begin"/>
      </w:r>
      <w:r>
        <w:rPr>
          <w:rFonts w:ascii="黑体" w:hAnsi="黑体" w:eastAsia="黑体"/>
          <w:lang w:eastAsia="zh-CN"/>
        </w:rPr>
        <w:instrText xml:space="preserve"> TOC \o "1-3" \h \z \u </w:instrText>
      </w:r>
      <w:r>
        <w:rPr>
          <w:rFonts w:ascii="黑体" w:hAnsi="黑体" w:eastAsia="黑体"/>
          <w:lang w:eastAsia="zh-CN"/>
        </w:rPr>
        <w:fldChar w:fldCharType="separate"/>
      </w:r>
    </w:p>
    <w:p>
      <w:pPr>
        <w:pStyle w:val="9"/>
        <w:rPr>
          <w:rFonts w:ascii="黑体" w:hAnsi="黑体" w:eastAsia="黑体"/>
          <w:sz w:val="21"/>
          <w:szCs w:val="22"/>
          <w:lang w:val="en-US" w:eastAsia="zh-CN"/>
        </w:rPr>
      </w:pPr>
      <w:r>
        <w:fldChar w:fldCharType="begin"/>
      </w:r>
      <w:r>
        <w:instrText xml:space="preserve"> HYPERLINK \l "_Toc81232244" </w:instrText>
      </w:r>
      <w:r>
        <w:fldChar w:fldCharType="separate"/>
      </w:r>
      <w:r>
        <w:rPr>
          <w:rStyle w:val="17"/>
          <w:rFonts w:hint="eastAsia" w:ascii="黑体" w:hAnsi="黑体" w:eastAsia="黑体"/>
        </w:rPr>
        <w:t>第一部分</w:t>
      </w:r>
      <w:r>
        <w:rPr>
          <w:rStyle w:val="17"/>
          <w:rFonts w:ascii="黑体" w:hAnsi="黑体" w:eastAsia="黑体"/>
        </w:rPr>
        <w:t xml:space="preserve"> </w:t>
      </w:r>
      <w:r>
        <w:rPr>
          <w:rStyle w:val="17"/>
          <w:rFonts w:hint="eastAsia" w:ascii="黑体" w:hAnsi="黑体" w:eastAsia="黑体"/>
        </w:rPr>
        <w:t>单位概况</w:t>
      </w:r>
      <w:r>
        <w:rPr>
          <w:rFonts w:ascii="黑体" w:hAnsi="黑体" w:eastAsia="黑体"/>
        </w:rPr>
        <w:tab/>
      </w:r>
      <w:r>
        <w:rPr>
          <w:rFonts w:ascii="黑体" w:hAnsi="黑体" w:eastAsia="黑体"/>
        </w:rPr>
        <w:fldChar w:fldCharType="begin"/>
      </w:r>
      <w:r>
        <w:rPr>
          <w:rFonts w:ascii="黑体" w:hAnsi="黑体" w:eastAsia="黑体"/>
        </w:rPr>
        <w:instrText xml:space="preserve"> PAGEREF _Toc81232244 \h </w:instrText>
      </w:r>
      <w:r>
        <w:rPr>
          <w:rFonts w:ascii="黑体" w:hAnsi="黑体" w:eastAsia="黑体"/>
        </w:rPr>
        <w:fldChar w:fldCharType="separate"/>
      </w:r>
      <w:r>
        <w:rPr>
          <w:rFonts w:ascii="黑体" w:hAnsi="黑体" w:eastAsia="黑体"/>
        </w:rPr>
        <w:t>4</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"_Toc81232245" </w:instrText>
      </w:r>
      <w:r>
        <w:fldChar w:fldCharType="separate"/>
      </w:r>
      <w:r>
        <w:rPr>
          <w:rStyle w:val="17"/>
          <w:rFonts w:hint="eastAsia" w:ascii="黑体" w:hAnsi="黑体" w:eastAsia="黑体"/>
        </w:rPr>
        <w:t>一、职能简介</w:t>
      </w:r>
      <w:r>
        <w:rPr>
          <w:rFonts w:ascii="黑体" w:hAnsi="黑体" w:eastAsia="黑体"/>
        </w:rPr>
        <w:tab/>
      </w:r>
      <w:r>
        <w:rPr>
          <w:rFonts w:ascii="黑体" w:hAnsi="黑体" w:eastAsia="黑体"/>
        </w:rPr>
        <w:fldChar w:fldCharType="begin"/>
      </w:r>
      <w:r>
        <w:rPr>
          <w:rFonts w:ascii="黑体" w:hAnsi="黑体" w:eastAsia="黑体"/>
        </w:rPr>
        <w:instrText xml:space="preserve"> PAGEREF _Toc81232245 \h </w:instrText>
      </w:r>
      <w:r>
        <w:rPr>
          <w:rFonts w:ascii="黑体" w:hAnsi="黑体" w:eastAsia="黑体"/>
        </w:rPr>
        <w:fldChar w:fldCharType="separate"/>
      </w:r>
      <w:r>
        <w:rPr>
          <w:rFonts w:ascii="黑体" w:hAnsi="黑体" w:eastAsia="黑体"/>
        </w:rPr>
        <w:t>4</w:t>
      </w:r>
      <w:r>
        <w:rPr>
          <w:rFonts w:ascii="黑体" w:hAnsi="黑体" w:eastAsia="黑体"/>
        </w:rPr>
        <w:fldChar w:fldCharType="end"/>
      </w:r>
      <w:r>
        <w:rPr>
          <w:rFonts w:ascii="黑体" w:hAnsi="黑体" w:eastAsia="黑体"/>
        </w:rPr>
        <w:fldChar w:fldCharType="end"/>
      </w:r>
    </w:p>
    <w:p>
      <w:pPr>
        <w:pStyle w:val="10"/>
        <w:rPr>
          <w:rFonts w:ascii="黑体" w:hAnsi="黑体" w:eastAsia="黑体"/>
        </w:rPr>
      </w:pPr>
      <w:r>
        <w:fldChar w:fldCharType="begin"/>
      </w:r>
      <w:r>
        <w:instrText xml:space="preserve"> HYPERLINK \l "_Toc81232246" </w:instrText>
      </w:r>
      <w:r>
        <w:fldChar w:fldCharType="separate"/>
      </w:r>
      <w:r>
        <w:rPr>
          <w:rStyle w:val="17"/>
          <w:rFonts w:hint="eastAsia" w:ascii="黑体" w:hAnsi="黑体" w:eastAsia="黑体"/>
        </w:rPr>
        <w:t>二、</w:t>
      </w:r>
      <w:r>
        <w:rPr>
          <w:rStyle w:val="17"/>
          <w:rFonts w:ascii="黑体" w:hAnsi="黑体" w:eastAsia="黑体"/>
        </w:rPr>
        <w:t>2020</w:t>
      </w:r>
      <w:r>
        <w:rPr>
          <w:rStyle w:val="17"/>
          <w:rFonts w:hint="eastAsia" w:ascii="黑体" w:hAnsi="黑体" w:eastAsia="黑体"/>
        </w:rPr>
        <w:t>年重点工作完成情况</w:t>
      </w:r>
      <w:r>
        <w:rPr>
          <w:rFonts w:ascii="黑体" w:hAnsi="黑体" w:eastAsia="黑体"/>
        </w:rPr>
        <w:tab/>
      </w:r>
      <w:r>
        <w:rPr>
          <w:rFonts w:ascii="黑体" w:hAnsi="黑体" w:eastAsia="黑体"/>
        </w:rPr>
        <w:fldChar w:fldCharType="begin"/>
      </w:r>
      <w:r>
        <w:rPr>
          <w:rFonts w:ascii="黑体" w:hAnsi="黑体" w:eastAsia="黑体"/>
        </w:rPr>
        <w:instrText xml:space="preserve"> PAGEREF _Toc81232246 \h </w:instrText>
      </w:r>
      <w:r>
        <w:rPr>
          <w:rFonts w:ascii="黑体" w:hAnsi="黑体" w:eastAsia="黑体"/>
        </w:rPr>
        <w:fldChar w:fldCharType="separate"/>
      </w:r>
      <w:r>
        <w:rPr>
          <w:rFonts w:ascii="黑体" w:hAnsi="黑体" w:eastAsia="黑体"/>
        </w:rPr>
        <w:t>4</w:t>
      </w:r>
      <w:r>
        <w:rPr>
          <w:rFonts w:ascii="黑体" w:hAnsi="黑体" w:eastAsia="黑体"/>
        </w:rPr>
        <w:fldChar w:fldCharType="end"/>
      </w:r>
      <w:r>
        <w:rPr>
          <w:rFonts w:ascii="黑体" w:hAnsi="黑体" w:eastAsia="黑体"/>
        </w:rPr>
        <w:fldChar w:fldCharType="end"/>
      </w:r>
    </w:p>
    <w:p>
      <w:pPr>
        <w:pStyle w:val="10"/>
      </w:pPr>
      <w:r>
        <w:fldChar w:fldCharType="begin"/>
      </w:r>
      <w:r>
        <w:instrText xml:space="preserve"> HYPERLINK \l "_Toc81232246" </w:instrText>
      </w:r>
      <w:r>
        <w:fldChar w:fldCharType="separate"/>
      </w:r>
      <w:r>
        <w:rPr>
          <w:rStyle w:val="17"/>
          <w:rFonts w:hint="eastAsia" w:ascii="黑体" w:hAnsi="黑体" w:eastAsia="黑体"/>
          <w:lang w:eastAsia="zh-CN"/>
        </w:rPr>
        <w:t>三</w:t>
      </w:r>
      <w:r>
        <w:rPr>
          <w:rStyle w:val="17"/>
          <w:rFonts w:hint="eastAsia" w:ascii="黑体" w:hAnsi="黑体" w:eastAsia="黑体"/>
        </w:rPr>
        <w:t>、</w:t>
      </w:r>
      <w:r>
        <w:rPr>
          <w:rStyle w:val="17"/>
          <w:rFonts w:hint="eastAsia" w:ascii="黑体" w:hAnsi="黑体" w:eastAsia="黑体"/>
          <w:lang w:eastAsia="zh-CN"/>
        </w:rPr>
        <w:t>机构设置情况</w:t>
      </w:r>
      <w:r>
        <w:rPr>
          <w:rFonts w:ascii="黑体" w:hAnsi="黑体" w:eastAsia="黑体"/>
        </w:rPr>
        <w:tab/>
      </w:r>
      <w:r>
        <w:rPr>
          <w:rFonts w:hint="eastAsia" w:ascii="黑体" w:hAnsi="黑体" w:eastAsia="黑体"/>
          <w:lang w:val="en-US" w:eastAsia="zh-CN"/>
        </w:rPr>
        <w:t>9</w:t>
      </w:r>
      <w:r>
        <w:rPr>
          <w:rFonts w:ascii="黑体" w:hAnsi="黑体" w:eastAsia="黑体"/>
        </w:rPr>
        <w:fldChar w:fldCharType="end"/>
      </w:r>
    </w:p>
    <w:p>
      <w:pPr>
        <w:pStyle w:val="9"/>
        <w:rPr>
          <w:rFonts w:ascii="黑体" w:hAnsi="黑体" w:eastAsia="黑体"/>
          <w:sz w:val="21"/>
          <w:szCs w:val="22"/>
          <w:lang w:val="en-US" w:eastAsia="zh-CN"/>
        </w:rPr>
      </w:pPr>
      <w:r>
        <w:fldChar w:fldCharType="begin"/>
      </w:r>
      <w:r>
        <w:instrText xml:space="preserve"> HYPERLINK \l "_Toc81232247" </w:instrText>
      </w:r>
      <w:r>
        <w:fldChar w:fldCharType="separate"/>
      </w:r>
      <w:r>
        <w:rPr>
          <w:rStyle w:val="17"/>
          <w:rFonts w:hint="eastAsia" w:ascii="黑体" w:hAnsi="黑体" w:eastAsia="黑体"/>
        </w:rPr>
        <w:t>第二部分</w:t>
      </w:r>
      <w:r>
        <w:rPr>
          <w:rStyle w:val="17"/>
          <w:rFonts w:ascii="黑体" w:hAnsi="黑体" w:eastAsia="黑体"/>
        </w:rPr>
        <w:t xml:space="preserve"> 2020</w:t>
      </w:r>
      <w:r>
        <w:rPr>
          <w:rStyle w:val="17"/>
          <w:rFonts w:hint="eastAsia" w:ascii="黑体" w:hAnsi="黑体" w:eastAsia="黑体"/>
        </w:rPr>
        <w:t>年度单位决算情况说明</w:t>
      </w:r>
      <w:r>
        <w:rPr>
          <w:rFonts w:ascii="黑体" w:hAnsi="黑体" w:eastAsia="黑体"/>
        </w:rPr>
        <w:tab/>
      </w:r>
      <w:r>
        <w:rPr>
          <w:rFonts w:ascii="黑体" w:hAnsi="黑体" w:eastAsia="黑体"/>
        </w:rPr>
        <w:fldChar w:fldCharType="begin"/>
      </w:r>
      <w:r>
        <w:rPr>
          <w:rFonts w:ascii="黑体" w:hAnsi="黑体" w:eastAsia="黑体"/>
        </w:rPr>
        <w:instrText xml:space="preserve"> PAGEREF _Toc81232247 \h </w:instrText>
      </w:r>
      <w:r>
        <w:rPr>
          <w:rFonts w:ascii="黑体" w:hAnsi="黑体" w:eastAsia="黑体"/>
        </w:rPr>
        <w:fldChar w:fldCharType="separate"/>
      </w:r>
      <w:r>
        <w:rPr>
          <w:rFonts w:ascii="黑体" w:hAnsi="黑体" w:eastAsia="黑体"/>
        </w:rPr>
        <w:t>9</w:t>
      </w:r>
      <w:r>
        <w:rPr>
          <w:rFonts w:ascii="黑体" w:hAnsi="黑体" w:eastAsia="黑体"/>
        </w:rPr>
        <w:fldChar w:fldCharType="end"/>
      </w:r>
      <w:r>
        <w:rPr>
          <w:rFonts w:ascii="黑体" w:hAnsi="黑体" w:eastAsia="黑体"/>
        </w:rPr>
        <w:fldChar w:fldCharType="end"/>
      </w:r>
    </w:p>
    <w:p>
      <w:pPr>
        <w:pStyle w:val="10"/>
        <w:tabs>
          <w:tab w:val="left" w:pos="1260"/>
        </w:tabs>
        <w:rPr>
          <w:rFonts w:ascii="黑体" w:hAnsi="黑体" w:eastAsia="黑体"/>
          <w:szCs w:val="22"/>
        </w:rPr>
      </w:pPr>
      <w:r>
        <w:fldChar w:fldCharType="begin"/>
      </w:r>
      <w:r>
        <w:instrText xml:space="preserve"> HYPERLINK \l "_Toc81232248" </w:instrText>
      </w:r>
      <w:r>
        <w:fldChar w:fldCharType="separate"/>
      </w:r>
      <w:r>
        <w:rPr>
          <w:rStyle w:val="17"/>
          <w:rFonts w:hint="eastAsia" w:ascii="黑体" w:hAnsi="黑体" w:eastAsia="黑体"/>
          <w:bCs/>
        </w:rPr>
        <w:t>一、</w:t>
      </w:r>
      <w:r>
        <w:rPr>
          <w:rStyle w:val="17"/>
          <w:rFonts w:hint="eastAsia" w:ascii="黑体" w:hAnsi="黑体" w:eastAsia="黑体"/>
        </w:rPr>
        <w:t>收</w:t>
      </w:r>
      <w:r>
        <w:rPr>
          <w:rStyle w:val="17"/>
          <w:rFonts w:hint="eastAsia" w:ascii="黑体" w:hAnsi="黑体" w:eastAsia="黑体"/>
          <w:bCs/>
        </w:rPr>
        <w:t>入支出决算总体情况说明</w:t>
      </w:r>
      <w:r>
        <w:rPr>
          <w:rFonts w:ascii="黑体" w:hAnsi="黑体" w:eastAsia="黑体"/>
        </w:rPr>
        <w:tab/>
      </w:r>
      <w:r>
        <w:rPr>
          <w:rFonts w:ascii="黑体" w:hAnsi="黑体" w:eastAsia="黑体"/>
        </w:rPr>
        <w:fldChar w:fldCharType="begin"/>
      </w:r>
      <w:r>
        <w:rPr>
          <w:rFonts w:ascii="黑体" w:hAnsi="黑体" w:eastAsia="黑体"/>
        </w:rPr>
        <w:instrText xml:space="preserve"> PAGEREF _Toc81232248 \h </w:instrText>
      </w:r>
      <w:r>
        <w:rPr>
          <w:rFonts w:ascii="黑体" w:hAnsi="黑体" w:eastAsia="黑体"/>
        </w:rPr>
        <w:fldChar w:fldCharType="separate"/>
      </w:r>
      <w:r>
        <w:rPr>
          <w:rFonts w:ascii="黑体" w:hAnsi="黑体" w:eastAsia="黑体"/>
        </w:rPr>
        <w:t>9</w:t>
      </w:r>
      <w:r>
        <w:rPr>
          <w:rFonts w:ascii="黑体" w:hAnsi="黑体" w:eastAsia="黑体"/>
        </w:rPr>
        <w:fldChar w:fldCharType="end"/>
      </w:r>
      <w:r>
        <w:rPr>
          <w:rFonts w:ascii="黑体" w:hAnsi="黑体" w:eastAsia="黑体"/>
        </w:rPr>
        <w:fldChar w:fldCharType="end"/>
      </w:r>
    </w:p>
    <w:p>
      <w:pPr>
        <w:pStyle w:val="10"/>
        <w:tabs>
          <w:tab w:val="left" w:pos="1260"/>
        </w:tabs>
        <w:rPr>
          <w:rFonts w:ascii="黑体" w:hAnsi="黑体" w:eastAsia="黑体"/>
          <w:szCs w:val="22"/>
        </w:rPr>
      </w:pPr>
      <w:r>
        <w:fldChar w:fldCharType="begin"/>
      </w:r>
      <w:r>
        <w:instrText xml:space="preserve"> HYPERLINK \l "_Toc81232249" </w:instrText>
      </w:r>
      <w:r>
        <w:fldChar w:fldCharType="separate"/>
      </w:r>
      <w:r>
        <w:rPr>
          <w:rStyle w:val="17"/>
          <w:rFonts w:hint="eastAsia" w:ascii="黑体" w:hAnsi="黑体" w:eastAsia="黑体"/>
          <w:bCs/>
        </w:rPr>
        <w:t>二、</w:t>
      </w:r>
      <w:r>
        <w:rPr>
          <w:rStyle w:val="17"/>
          <w:rFonts w:hint="eastAsia" w:ascii="黑体" w:hAnsi="黑体" w:eastAsia="黑体"/>
        </w:rPr>
        <w:t>收</w:t>
      </w:r>
      <w:r>
        <w:rPr>
          <w:rStyle w:val="17"/>
          <w:rFonts w:hint="eastAsia" w:ascii="黑体" w:hAnsi="黑体" w:eastAsia="黑体"/>
          <w:bCs/>
        </w:rPr>
        <w:t>入决算情况说明</w:t>
      </w:r>
      <w:r>
        <w:rPr>
          <w:rFonts w:ascii="黑体" w:hAnsi="黑体" w:eastAsia="黑体"/>
        </w:rPr>
        <w:tab/>
      </w:r>
      <w:r>
        <w:rPr>
          <w:rFonts w:ascii="黑体" w:hAnsi="黑体" w:eastAsia="黑体"/>
        </w:rPr>
        <w:fldChar w:fldCharType="begin"/>
      </w:r>
      <w:r>
        <w:rPr>
          <w:rFonts w:ascii="黑体" w:hAnsi="黑体" w:eastAsia="黑体"/>
        </w:rPr>
        <w:instrText xml:space="preserve"> PAGEREF _Toc81232249 \h </w:instrText>
      </w:r>
      <w:r>
        <w:rPr>
          <w:rFonts w:ascii="黑体" w:hAnsi="黑体" w:eastAsia="黑体"/>
        </w:rPr>
        <w:fldChar w:fldCharType="separate"/>
      </w:r>
      <w:r>
        <w:rPr>
          <w:rFonts w:ascii="黑体" w:hAnsi="黑体" w:eastAsia="黑体"/>
        </w:rPr>
        <w:t>9</w:t>
      </w:r>
      <w:r>
        <w:rPr>
          <w:rFonts w:ascii="黑体" w:hAnsi="黑体" w:eastAsia="黑体"/>
        </w:rPr>
        <w:fldChar w:fldCharType="end"/>
      </w:r>
      <w:r>
        <w:rPr>
          <w:rFonts w:ascii="黑体" w:hAnsi="黑体" w:eastAsia="黑体"/>
        </w:rPr>
        <w:fldChar w:fldCharType="end"/>
      </w:r>
    </w:p>
    <w:p>
      <w:pPr>
        <w:pStyle w:val="10"/>
        <w:tabs>
          <w:tab w:val="left" w:pos="1260"/>
        </w:tabs>
        <w:rPr>
          <w:rFonts w:ascii="黑体" w:hAnsi="黑体" w:eastAsia="黑体"/>
          <w:szCs w:val="22"/>
        </w:rPr>
      </w:pPr>
      <w:r>
        <w:fldChar w:fldCharType="begin"/>
      </w:r>
      <w:r>
        <w:instrText xml:space="preserve"> HYPERLINK \l "_Toc81232250" </w:instrText>
      </w:r>
      <w:r>
        <w:fldChar w:fldCharType="separate"/>
      </w:r>
      <w:r>
        <w:rPr>
          <w:rStyle w:val="17"/>
          <w:rFonts w:hint="eastAsia" w:ascii="黑体" w:hAnsi="黑体" w:eastAsia="黑体"/>
          <w:bCs/>
        </w:rPr>
        <w:t>三、</w:t>
      </w:r>
      <w:r>
        <w:rPr>
          <w:rStyle w:val="17"/>
          <w:rFonts w:hint="eastAsia" w:ascii="黑体" w:hAnsi="黑体" w:eastAsia="黑体"/>
        </w:rPr>
        <w:t>支</w:t>
      </w:r>
      <w:r>
        <w:rPr>
          <w:rStyle w:val="17"/>
          <w:rFonts w:hint="eastAsia" w:ascii="黑体" w:hAnsi="黑体" w:eastAsia="黑体"/>
          <w:bCs/>
        </w:rPr>
        <w:t>出决算情况说明</w:t>
      </w:r>
      <w:r>
        <w:rPr>
          <w:rFonts w:ascii="黑体" w:hAnsi="黑体" w:eastAsia="黑体"/>
        </w:rPr>
        <w:tab/>
      </w:r>
      <w:r>
        <w:rPr>
          <w:rFonts w:ascii="黑体" w:hAnsi="黑体" w:eastAsia="黑体"/>
        </w:rPr>
        <w:fldChar w:fldCharType="begin"/>
      </w:r>
      <w:r>
        <w:rPr>
          <w:rFonts w:ascii="黑体" w:hAnsi="黑体" w:eastAsia="黑体"/>
        </w:rPr>
        <w:instrText xml:space="preserve"> PAGEREF _Toc81232250 \h </w:instrText>
      </w:r>
      <w:r>
        <w:rPr>
          <w:rFonts w:ascii="黑体" w:hAnsi="黑体" w:eastAsia="黑体"/>
        </w:rPr>
        <w:fldChar w:fldCharType="separate"/>
      </w:r>
      <w:r>
        <w:rPr>
          <w:rFonts w:ascii="黑体" w:hAnsi="黑体" w:eastAsia="黑体"/>
        </w:rPr>
        <w:t>10</w:t>
      </w:r>
      <w:r>
        <w:rPr>
          <w:rFonts w:ascii="黑体" w:hAnsi="黑体" w:eastAsia="黑体"/>
        </w:rPr>
        <w:fldChar w:fldCharType="end"/>
      </w:r>
      <w:r>
        <w:rPr>
          <w:rFonts w:ascii="黑体" w:hAnsi="黑体" w:eastAsia="黑体"/>
        </w:rPr>
        <w:fldChar w:fldCharType="end"/>
      </w:r>
    </w:p>
    <w:p>
      <w:pPr>
        <w:pStyle w:val="10"/>
        <w:tabs>
          <w:tab w:val="left" w:pos="1260"/>
        </w:tabs>
        <w:rPr>
          <w:rFonts w:ascii="黑体" w:hAnsi="黑体" w:eastAsia="黑体"/>
          <w:szCs w:val="22"/>
        </w:rPr>
      </w:pPr>
      <w:r>
        <w:fldChar w:fldCharType="begin"/>
      </w:r>
      <w:r>
        <w:instrText xml:space="preserve"> HYPERLINK \l "_Toc81232250" </w:instrText>
      </w:r>
      <w:r>
        <w:fldChar w:fldCharType="separate"/>
      </w:r>
      <w:r>
        <w:rPr>
          <w:rStyle w:val="17"/>
          <w:rFonts w:hint="eastAsia" w:ascii="黑体" w:hAnsi="黑体" w:eastAsia="黑体"/>
          <w:bCs/>
        </w:rPr>
        <w:t>四、</w:t>
      </w:r>
      <w:r>
        <w:rPr>
          <w:rStyle w:val="17"/>
          <w:rFonts w:hint="eastAsia" w:ascii="黑体" w:hAnsi="黑体" w:eastAsia="黑体"/>
        </w:rPr>
        <w:t>支</w:t>
      </w:r>
      <w:r>
        <w:rPr>
          <w:rStyle w:val="17"/>
          <w:rFonts w:hint="eastAsia" w:ascii="黑体" w:hAnsi="黑体" w:eastAsia="黑体"/>
          <w:bCs/>
        </w:rPr>
        <w:t>出决算情况说明</w:t>
      </w:r>
      <w:r>
        <w:rPr>
          <w:rFonts w:ascii="黑体" w:hAnsi="黑体" w:eastAsia="黑体"/>
        </w:rPr>
        <w:tab/>
      </w:r>
      <w:r>
        <w:rPr>
          <w:rFonts w:hint="eastAsia" w:ascii="黑体" w:hAnsi="黑体" w:eastAsia="黑体"/>
        </w:rPr>
        <w:t>10</w:t>
      </w:r>
      <w:r>
        <w:rPr>
          <w:rFonts w:hint="eastAsia" w:ascii="黑体" w:hAnsi="黑体" w:eastAsia="黑体"/>
        </w:rPr>
        <w:fldChar w:fldCharType="end"/>
      </w:r>
    </w:p>
    <w:p>
      <w:pPr>
        <w:pStyle w:val="10"/>
        <w:rPr>
          <w:rFonts w:ascii="黑体" w:hAnsi="黑体" w:eastAsia="黑体"/>
          <w:szCs w:val="22"/>
        </w:rPr>
      </w:pPr>
      <w:r>
        <w:fldChar w:fldCharType="begin"/>
      </w:r>
      <w:r>
        <w:instrText xml:space="preserve"> HYPERLINK \l "_Toc81232251" </w:instrText>
      </w:r>
      <w:r>
        <w:fldChar w:fldCharType="separate"/>
      </w:r>
      <w:r>
        <w:rPr>
          <w:rStyle w:val="17"/>
          <w:rFonts w:hint="eastAsia" w:ascii="黑体" w:hAnsi="黑体" w:eastAsia="黑体"/>
        </w:rPr>
        <w:t>五、一</w:t>
      </w:r>
      <w:r>
        <w:rPr>
          <w:rStyle w:val="17"/>
          <w:rFonts w:hint="eastAsia" w:ascii="黑体" w:hAnsi="黑体" w:eastAsia="黑体"/>
          <w:bCs/>
        </w:rPr>
        <w:t>般公共预算财政拨款支出决算情况说明</w:t>
      </w:r>
      <w:r>
        <w:rPr>
          <w:rFonts w:ascii="黑体" w:hAnsi="黑体" w:eastAsia="黑体"/>
        </w:rPr>
        <w:tab/>
      </w:r>
      <w:r>
        <w:rPr>
          <w:rFonts w:ascii="黑体" w:hAnsi="黑体" w:eastAsia="黑体"/>
        </w:rPr>
        <w:fldChar w:fldCharType="begin"/>
      </w:r>
      <w:r>
        <w:rPr>
          <w:rFonts w:ascii="黑体" w:hAnsi="黑体" w:eastAsia="黑体"/>
        </w:rPr>
        <w:instrText xml:space="preserve"> PAGEREF _Toc81232251 \h </w:instrText>
      </w:r>
      <w:r>
        <w:rPr>
          <w:rFonts w:ascii="黑体" w:hAnsi="黑体" w:eastAsia="黑体"/>
        </w:rPr>
        <w:fldChar w:fldCharType="separate"/>
      </w:r>
      <w:r>
        <w:rPr>
          <w:rFonts w:ascii="黑体" w:hAnsi="黑体" w:eastAsia="黑体"/>
        </w:rPr>
        <w:t>11</w:t>
      </w:r>
      <w:r>
        <w:rPr>
          <w:rFonts w:ascii="黑体" w:hAnsi="黑体" w:eastAsia="黑体"/>
        </w:rPr>
        <w:fldChar w:fldCharType="end"/>
      </w:r>
      <w:r>
        <w:rPr>
          <w:rFonts w:ascii="黑体" w:hAnsi="黑体" w:eastAsia="黑体"/>
        </w:rPr>
        <w:fldChar w:fldCharType="end"/>
      </w:r>
      <w:bookmarkStart w:id="334" w:name="_GoBack"/>
      <w:bookmarkEnd w:id="334"/>
    </w:p>
    <w:p>
      <w:pPr>
        <w:pStyle w:val="10"/>
        <w:rPr>
          <w:rFonts w:ascii="黑体" w:hAnsi="黑体" w:eastAsia="黑体"/>
          <w:szCs w:val="22"/>
        </w:rPr>
      </w:pPr>
      <w:r>
        <w:fldChar w:fldCharType="begin"/>
      </w:r>
      <w:r>
        <w:instrText xml:space="preserve"> HYPERLINK \l "_Toc81232256" </w:instrText>
      </w:r>
      <w:r>
        <w:fldChar w:fldCharType="separate"/>
      </w:r>
      <w:r>
        <w:rPr>
          <w:rStyle w:val="17"/>
          <w:rFonts w:hint="eastAsia" w:ascii="黑体" w:hAnsi="黑体" w:eastAsia="黑体"/>
        </w:rPr>
        <w:t>六、一</w:t>
      </w:r>
      <w:r>
        <w:rPr>
          <w:rStyle w:val="17"/>
          <w:rFonts w:hint="eastAsia" w:ascii="黑体" w:hAnsi="黑体" w:eastAsia="黑体"/>
          <w:bCs/>
        </w:rPr>
        <w:t>般公共预算财政拨款基本支出决算情况说明</w:t>
      </w:r>
      <w:r>
        <w:rPr>
          <w:rFonts w:ascii="黑体" w:hAnsi="黑体" w:eastAsia="黑体"/>
        </w:rPr>
        <w:tab/>
      </w:r>
      <w:r>
        <w:rPr>
          <w:rFonts w:ascii="黑体" w:hAnsi="黑体" w:eastAsia="黑体"/>
        </w:rPr>
        <w:fldChar w:fldCharType="begin"/>
      </w:r>
      <w:r>
        <w:rPr>
          <w:rFonts w:ascii="黑体" w:hAnsi="黑体" w:eastAsia="黑体"/>
        </w:rPr>
        <w:instrText xml:space="preserve"> PAGEREF _Toc81232256 \h </w:instrText>
      </w:r>
      <w:r>
        <w:rPr>
          <w:rFonts w:ascii="黑体" w:hAnsi="黑体" w:eastAsia="黑体"/>
        </w:rPr>
        <w:fldChar w:fldCharType="separate"/>
      </w:r>
      <w:r>
        <w:rPr>
          <w:rFonts w:ascii="黑体" w:hAnsi="黑体" w:eastAsia="黑体"/>
        </w:rPr>
        <w:t>13</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"_Toc81232259" </w:instrText>
      </w:r>
      <w:r>
        <w:fldChar w:fldCharType="separate"/>
      </w:r>
      <w:r>
        <w:rPr>
          <w:rStyle w:val="17"/>
          <w:rFonts w:hint="eastAsia" w:ascii="黑体" w:hAnsi="黑体" w:eastAsia="黑体"/>
        </w:rPr>
        <w:t>七、</w:t>
      </w:r>
      <w:r>
        <w:rPr>
          <w:rStyle w:val="17"/>
          <w:rFonts w:ascii="黑体" w:hAnsi="黑体" w:eastAsia="黑体"/>
          <w:bCs/>
        </w:rPr>
        <w:t>“</w:t>
      </w:r>
      <w:r>
        <w:rPr>
          <w:rStyle w:val="17"/>
          <w:rFonts w:hint="eastAsia" w:ascii="黑体" w:hAnsi="黑体" w:eastAsia="黑体"/>
          <w:bCs/>
        </w:rPr>
        <w:t>三公</w:t>
      </w:r>
      <w:r>
        <w:rPr>
          <w:rStyle w:val="17"/>
          <w:rFonts w:ascii="黑体" w:hAnsi="黑体" w:eastAsia="黑体"/>
          <w:bCs/>
        </w:rPr>
        <w:t>”</w:t>
      </w:r>
      <w:r>
        <w:rPr>
          <w:rStyle w:val="17"/>
          <w:rFonts w:hint="eastAsia" w:ascii="黑体" w:hAnsi="黑体" w:eastAsia="黑体"/>
          <w:bCs/>
        </w:rPr>
        <w:t>经费财政拨款支出决算情况说明</w:t>
      </w:r>
      <w:r>
        <w:rPr>
          <w:rFonts w:ascii="黑体" w:hAnsi="黑体" w:eastAsia="黑体"/>
        </w:rPr>
        <w:tab/>
      </w:r>
      <w:r>
        <w:rPr>
          <w:rFonts w:ascii="黑体" w:hAnsi="黑体" w:eastAsia="黑体"/>
        </w:rPr>
        <w:fldChar w:fldCharType="begin"/>
      </w:r>
      <w:r>
        <w:rPr>
          <w:rFonts w:ascii="黑体" w:hAnsi="黑体" w:eastAsia="黑体"/>
        </w:rPr>
        <w:instrText xml:space="preserve"> PAGEREF _Toc81232259 \h </w:instrText>
      </w:r>
      <w:r>
        <w:rPr>
          <w:rFonts w:ascii="黑体" w:hAnsi="黑体" w:eastAsia="黑体"/>
        </w:rPr>
        <w:fldChar w:fldCharType="separate"/>
      </w:r>
      <w:r>
        <w:rPr>
          <w:rFonts w:ascii="黑体" w:hAnsi="黑体" w:eastAsia="黑体"/>
        </w:rPr>
        <w:t>14</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"_Toc81232262" </w:instrText>
      </w:r>
      <w:r>
        <w:fldChar w:fldCharType="separate"/>
      </w:r>
      <w:r>
        <w:rPr>
          <w:rStyle w:val="17"/>
          <w:rFonts w:hint="eastAsia" w:ascii="黑体" w:hAnsi="黑体" w:eastAsia="黑体"/>
        </w:rPr>
        <w:t>八、</w:t>
      </w:r>
      <w:r>
        <w:rPr>
          <w:rStyle w:val="17"/>
          <w:rFonts w:hint="eastAsia" w:ascii="黑体" w:hAnsi="黑体" w:eastAsia="黑体"/>
          <w:bCs/>
        </w:rPr>
        <w:t>政府性基金预算支出决算情况说明</w:t>
      </w:r>
      <w:r>
        <w:rPr>
          <w:rFonts w:ascii="黑体" w:hAnsi="黑体" w:eastAsia="黑体"/>
        </w:rPr>
        <w:tab/>
      </w:r>
      <w:r>
        <w:rPr>
          <w:rFonts w:ascii="黑体" w:hAnsi="黑体" w:eastAsia="黑体"/>
        </w:rPr>
        <w:fldChar w:fldCharType="begin"/>
      </w:r>
      <w:r>
        <w:rPr>
          <w:rFonts w:ascii="黑体" w:hAnsi="黑体" w:eastAsia="黑体"/>
        </w:rPr>
        <w:instrText xml:space="preserve"> PAGEREF _Toc81232262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"_Toc81232263" </w:instrText>
      </w:r>
      <w:r>
        <w:fldChar w:fldCharType="separate"/>
      </w:r>
      <w:r>
        <w:rPr>
          <w:rStyle w:val="17"/>
          <w:rFonts w:hint="eastAsia" w:ascii="黑体" w:hAnsi="黑体" w:eastAsia="黑体"/>
          <w:bCs/>
        </w:rPr>
        <w:t>九、 国有资本经营预算支出决算情况说明</w:t>
      </w:r>
      <w:r>
        <w:rPr>
          <w:rFonts w:ascii="黑体" w:hAnsi="黑体" w:eastAsia="黑体"/>
        </w:rPr>
        <w:tab/>
      </w:r>
      <w:r>
        <w:rPr>
          <w:rFonts w:ascii="黑体" w:hAnsi="黑体" w:eastAsia="黑体"/>
        </w:rPr>
        <w:fldChar w:fldCharType="begin"/>
      </w:r>
      <w:r>
        <w:rPr>
          <w:rFonts w:ascii="黑体" w:hAnsi="黑体" w:eastAsia="黑体"/>
        </w:rPr>
        <w:instrText xml:space="preserve"> PAGEREF _Toc81232263 \h </w:instrText>
      </w:r>
      <w:r>
        <w:rPr>
          <w:rFonts w:ascii="黑体" w:hAnsi="黑体" w:eastAsia="黑体"/>
        </w:rPr>
        <w:fldChar w:fldCharType="separate"/>
      </w:r>
      <w:r>
        <w:rPr>
          <w:rFonts w:ascii="黑体" w:hAnsi="黑体" w:eastAsia="黑体"/>
        </w:rPr>
        <w:t>15</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"_Toc81232264" </w:instrText>
      </w:r>
      <w:r>
        <w:fldChar w:fldCharType="separate"/>
      </w:r>
      <w:r>
        <w:rPr>
          <w:rStyle w:val="17"/>
          <w:rFonts w:hint="eastAsia" w:ascii="黑体" w:hAnsi="黑体" w:eastAsia="黑体"/>
          <w:bCs/>
        </w:rPr>
        <w:t>十、其他重要事项的情况说明</w:t>
      </w:r>
      <w:r>
        <w:rPr>
          <w:rFonts w:ascii="黑体" w:hAnsi="黑体" w:eastAsia="黑体"/>
        </w:rPr>
        <w:tab/>
      </w:r>
      <w:r>
        <w:rPr>
          <w:rFonts w:ascii="黑体" w:hAnsi="黑体" w:eastAsia="黑体"/>
        </w:rPr>
        <w:fldChar w:fldCharType="begin"/>
      </w:r>
      <w:r>
        <w:rPr>
          <w:rFonts w:ascii="黑体" w:hAnsi="黑体" w:eastAsia="黑体"/>
        </w:rPr>
        <w:instrText xml:space="preserve"> PAGEREF _Toc81232264 \h </w:instrText>
      </w:r>
      <w:r>
        <w:rPr>
          <w:rFonts w:ascii="黑体" w:hAnsi="黑体" w:eastAsia="黑体"/>
        </w:rPr>
        <w:fldChar w:fldCharType="separate"/>
      </w:r>
      <w:r>
        <w:rPr>
          <w:rFonts w:ascii="黑体" w:hAnsi="黑体" w:eastAsia="黑体"/>
        </w:rPr>
        <w:t>16</w:t>
      </w:r>
      <w:r>
        <w:rPr>
          <w:rFonts w:ascii="黑体" w:hAnsi="黑体" w:eastAsia="黑体"/>
        </w:rPr>
        <w:fldChar w:fldCharType="end"/>
      </w:r>
      <w:r>
        <w:rPr>
          <w:rFonts w:ascii="黑体" w:hAnsi="黑体" w:eastAsia="黑体"/>
        </w:rPr>
        <w:fldChar w:fldCharType="end"/>
      </w:r>
    </w:p>
    <w:p>
      <w:pPr>
        <w:pStyle w:val="9"/>
        <w:rPr>
          <w:rStyle w:val="17"/>
          <w:rFonts w:hint="eastAsia" w:ascii="黑体" w:hAnsi="黑体" w:eastAsia="黑体"/>
          <w:lang w:eastAsia="zh-CN"/>
        </w:rPr>
      </w:pPr>
      <w:r>
        <w:rPr>
          <w:rStyle w:val="17"/>
          <w:rFonts w:hint="eastAsia" w:ascii="黑体" w:hAnsi="黑体" w:eastAsia="黑体"/>
          <w:color w:val="000000"/>
          <w:u w:val="none"/>
        </w:rPr>
        <w:t>第三部分</w:t>
      </w:r>
      <w:r>
        <w:rPr>
          <w:rStyle w:val="17"/>
          <w:rFonts w:ascii="黑体" w:hAnsi="黑体" w:eastAsia="黑体"/>
          <w:color w:val="000000"/>
          <w:u w:val="none"/>
        </w:rPr>
        <w:t xml:space="preserve">  </w:t>
      </w:r>
      <w:r>
        <w:rPr>
          <w:rStyle w:val="17"/>
          <w:rFonts w:hint="eastAsia" w:ascii="黑体" w:hAnsi="黑体" w:eastAsia="黑体"/>
          <w:color w:val="000000"/>
          <w:u w:val="none"/>
        </w:rPr>
        <w:t>名词解释</w:t>
      </w:r>
      <w:r>
        <w:fldChar w:fldCharType="begin"/>
      </w:r>
      <w:r>
        <w:instrText xml:space="preserve"> HYPERLINK \l "_Toc81232268" </w:instrText>
      </w:r>
      <w:r>
        <w:fldChar w:fldCharType="separate"/>
      </w:r>
      <w:r>
        <w:rPr>
          <w:rFonts w:ascii="黑体" w:hAnsi="黑体" w:eastAsia="黑体"/>
        </w:rPr>
        <w:tab/>
      </w:r>
      <w:r>
        <w:rPr>
          <w:rFonts w:hint="eastAsia" w:ascii="黑体" w:hAnsi="黑体" w:eastAsia="黑体"/>
          <w:lang w:eastAsia="zh-CN"/>
        </w:rPr>
        <w:t>19</w:t>
      </w:r>
      <w:r>
        <w:rPr>
          <w:rFonts w:hint="eastAsia" w:ascii="黑体" w:hAnsi="黑体" w:eastAsia="黑体"/>
          <w:lang w:eastAsia="zh-CN"/>
        </w:rPr>
        <w:fldChar w:fldCharType="end"/>
      </w:r>
    </w:p>
    <w:p>
      <w:pPr>
        <w:pStyle w:val="9"/>
        <w:rPr>
          <w:rFonts w:ascii="黑体" w:hAnsi="黑体" w:eastAsia="黑体"/>
          <w:sz w:val="21"/>
          <w:szCs w:val="22"/>
          <w:lang w:val="en-US" w:eastAsia="zh-CN"/>
        </w:rPr>
      </w:pPr>
      <w:r>
        <w:rPr>
          <w:rStyle w:val="17"/>
          <w:rFonts w:hint="eastAsia" w:ascii="黑体" w:hAnsi="黑体" w:eastAsia="黑体"/>
          <w:color w:val="000000"/>
          <w:u w:val="none"/>
        </w:rPr>
        <w:t>第四部分</w:t>
      </w:r>
      <w:r>
        <w:rPr>
          <w:rStyle w:val="17"/>
          <w:rFonts w:ascii="黑体" w:hAnsi="黑体" w:eastAsia="黑体"/>
          <w:color w:val="000000"/>
          <w:u w:val="none"/>
        </w:rPr>
        <w:t xml:space="preserve">  </w:t>
      </w:r>
      <w:r>
        <w:rPr>
          <w:rStyle w:val="17"/>
          <w:rFonts w:hint="eastAsia" w:ascii="黑体" w:hAnsi="黑体" w:eastAsia="黑体"/>
          <w:color w:val="000000"/>
          <w:u w:val="none"/>
        </w:rPr>
        <w:t>附件</w:t>
      </w:r>
      <w:r>
        <w:fldChar w:fldCharType="begin"/>
      </w:r>
      <w:r>
        <w:instrText xml:space="preserve"> HYPERLINK \l "_Toc81232268" </w:instrText>
      </w:r>
      <w:r>
        <w:fldChar w:fldCharType="separate"/>
      </w:r>
      <w:r>
        <w:rPr>
          <w:rFonts w:ascii="黑体" w:hAnsi="黑体" w:eastAsia="黑体"/>
        </w:rPr>
        <w:tab/>
      </w:r>
      <w:r>
        <w:rPr>
          <w:rFonts w:ascii="黑体" w:hAnsi="黑体" w:eastAsia="黑体"/>
        </w:rPr>
        <w:fldChar w:fldCharType="begin"/>
      </w:r>
      <w:r>
        <w:rPr>
          <w:rFonts w:ascii="黑体" w:hAnsi="黑体" w:eastAsia="黑体"/>
        </w:rPr>
        <w:instrText xml:space="preserve"> PAGEREF _Toc81232268 \h </w:instrText>
      </w:r>
      <w:r>
        <w:rPr>
          <w:rFonts w:ascii="黑体" w:hAnsi="黑体" w:eastAsia="黑体"/>
        </w:rPr>
        <w:fldChar w:fldCharType="separate"/>
      </w:r>
      <w:r>
        <w:rPr>
          <w:rFonts w:ascii="黑体" w:hAnsi="黑体" w:eastAsia="黑体"/>
        </w:rPr>
        <w:t>21</w:t>
      </w:r>
      <w:r>
        <w:rPr>
          <w:rFonts w:ascii="黑体" w:hAnsi="黑体" w:eastAsia="黑体"/>
        </w:rPr>
        <w:fldChar w:fldCharType="end"/>
      </w:r>
      <w:r>
        <w:rPr>
          <w:rFonts w:ascii="黑体" w:hAnsi="黑体" w:eastAsia="黑体"/>
        </w:rPr>
        <w:fldChar w:fldCharType="end"/>
      </w:r>
    </w:p>
    <w:p>
      <w:pPr>
        <w:rPr>
          <w:rFonts w:hint="eastAsia" w:ascii="黑体" w:hAnsi="黑体" w:eastAsia="黑体"/>
          <w:lang w:val="en-US"/>
        </w:rPr>
      </w:pPr>
    </w:p>
    <w:p>
      <w:pPr>
        <w:pStyle w:val="9"/>
        <w:rPr>
          <w:rStyle w:val="17"/>
          <w:rFonts w:hint="eastAsia" w:ascii="黑体" w:hAnsi="黑体" w:eastAsia="黑体"/>
        </w:rPr>
      </w:pPr>
      <w:r>
        <w:fldChar w:fldCharType="begin"/>
      </w:r>
      <w:r>
        <w:instrText xml:space="preserve"> HYPERLINK \l "_Toc81232269" </w:instrText>
      </w:r>
      <w:r>
        <w:fldChar w:fldCharType="separate"/>
      </w:r>
      <w:r>
        <w:rPr>
          <w:rStyle w:val="17"/>
          <w:rFonts w:hint="eastAsia" w:ascii="黑体" w:hAnsi="黑体" w:eastAsia="黑体"/>
        </w:rPr>
        <w:t>第五部分 附表</w:t>
      </w:r>
      <w:r>
        <w:rPr>
          <w:rStyle w:val="17"/>
          <w:rFonts w:hint="eastAsia" w:ascii="黑体" w:hAnsi="黑体" w:eastAsia="黑体"/>
        </w:rPr>
        <w:tab/>
      </w:r>
      <w:r>
        <w:rPr>
          <w:rStyle w:val="17"/>
          <w:rFonts w:hint="eastAsia" w:ascii="黑体" w:hAnsi="黑体" w:eastAsia="黑体"/>
        </w:rPr>
        <w:fldChar w:fldCharType="begin"/>
      </w:r>
      <w:r>
        <w:rPr>
          <w:rStyle w:val="17"/>
          <w:rFonts w:hint="eastAsia" w:ascii="黑体" w:hAnsi="黑体" w:eastAsia="黑体"/>
        </w:rPr>
        <w:instrText xml:space="preserve"> PAGEREF _Toc81232269 \h </w:instrText>
      </w:r>
      <w:r>
        <w:rPr>
          <w:rStyle w:val="17"/>
          <w:rFonts w:hint="eastAsia" w:ascii="黑体" w:hAnsi="黑体" w:eastAsia="黑体"/>
        </w:rPr>
        <w:fldChar w:fldCharType="separate"/>
      </w:r>
      <w:r>
        <w:rPr>
          <w:rStyle w:val="17"/>
          <w:rFonts w:ascii="黑体" w:hAnsi="黑体" w:eastAsia="黑体"/>
        </w:rPr>
        <w:t>25</w:t>
      </w:r>
      <w:r>
        <w:rPr>
          <w:rStyle w:val="17"/>
          <w:rFonts w:hint="eastAsia" w:ascii="黑体" w:hAnsi="黑体" w:eastAsia="黑体"/>
        </w:rPr>
        <w:fldChar w:fldCharType="end"/>
      </w:r>
      <w:r>
        <w:rPr>
          <w:rStyle w:val="17"/>
          <w:rFonts w:hint="eastAsia" w:ascii="黑体" w:hAnsi="黑体" w:eastAsia="黑体"/>
        </w:rPr>
        <w:fldChar w:fldCharType="end"/>
      </w:r>
    </w:p>
    <w:p>
      <w:pPr>
        <w:pStyle w:val="10"/>
        <w:rPr>
          <w:rFonts w:ascii="黑体" w:hAnsi="黑体" w:eastAsia="黑体"/>
          <w:szCs w:val="22"/>
        </w:rPr>
      </w:pPr>
      <w:r>
        <w:fldChar w:fldCharType="begin"/>
      </w:r>
      <w:r>
        <w:instrText xml:space="preserve"> HYPERLINK \l "_Toc81232270" </w:instrText>
      </w:r>
      <w:r>
        <w:fldChar w:fldCharType="separate"/>
      </w:r>
      <w:r>
        <w:rPr>
          <w:rStyle w:val="17"/>
          <w:rFonts w:hint="eastAsia" w:ascii="黑体" w:hAnsi="黑体" w:eastAsia="黑体"/>
        </w:rPr>
        <w:t>一、收入支出决算总表</w:t>
      </w:r>
      <w:r>
        <w:rPr>
          <w:rFonts w:ascii="黑体" w:hAnsi="黑体" w:eastAsia="黑体"/>
        </w:rPr>
        <w:tab/>
      </w:r>
      <w:r>
        <w:rPr>
          <w:rFonts w:ascii="黑体" w:hAnsi="黑体" w:eastAsia="黑体"/>
        </w:rPr>
        <w:fldChar w:fldCharType="begin"/>
      </w:r>
      <w:r>
        <w:rPr>
          <w:rFonts w:ascii="黑体" w:hAnsi="黑体" w:eastAsia="黑体"/>
        </w:rPr>
        <w:instrText xml:space="preserve"> PAGEREF _Toc81232270 \h </w:instrText>
      </w:r>
      <w:r>
        <w:rPr>
          <w:rFonts w:ascii="黑体" w:hAnsi="黑体" w:eastAsia="黑体"/>
        </w:rPr>
        <w:fldChar w:fldCharType="separate"/>
      </w:r>
      <w:r>
        <w:rPr>
          <w:rFonts w:ascii="黑体" w:hAnsi="黑体" w:eastAsia="黑体"/>
        </w:rPr>
        <w:t>26</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"_Toc81232271" </w:instrText>
      </w:r>
      <w:r>
        <w:fldChar w:fldCharType="separate"/>
      </w:r>
      <w:r>
        <w:rPr>
          <w:rStyle w:val="17"/>
          <w:rFonts w:hint="eastAsia" w:ascii="黑体" w:hAnsi="黑体" w:eastAsia="黑体"/>
        </w:rPr>
        <w:t>二、收入决算表</w:t>
      </w:r>
      <w:r>
        <w:rPr>
          <w:rFonts w:ascii="黑体" w:hAnsi="黑体" w:eastAsia="黑体"/>
        </w:rPr>
        <w:tab/>
      </w:r>
      <w:r>
        <w:rPr>
          <w:rFonts w:ascii="黑体" w:hAnsi="黑体" w:eastAsia="黑体"/>
        </w:rPr>
        <w:fldChar w:fldCharType="begin"/>
      </w:r>
      <w:r>
        <w:rPr>
          <w:rFonts w:ascii="黑体" w:hAnsi="黑体" w:eastAsia="黑体"/>
        </w:rPr>
        <w:instrText xml:space="preserve"> PAGEREF _Toc81232271 \h </w:instrText>
      </w:r>
      <w:r>
        <w:rPr>
          <w:rFonts w:ascii="黑体" w:hAnsi="黑体" w:eastAsia="黑体"/>
        </w:rPr>
        <w:fldChar w:fldCharType="separate"/>
      </w:r>
      <w:r>
        <w:rPr>
          <w:rFonts w:ascii="黑体" w:hAnsi="黑体" w:eastAsia="黑体"/>
        </w:rPr>
        <w:t>26</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"_Toc81232272" </w:instrText>
      </w:r>
      <w:r>
        <w:fldChar w:fldCharType="separate"/>
      </w:r>
      <w:r>
        <w:rPr>
          <w:rStyle w:val="17"/>
          <w:rFonts w:hint="eastAsia" w:ascii="黑体" w:hAnsi="黑体" w:eastAsia="黑体"/>
        </w:rPr>
        <w:t>三、支出决算表</w:t>
      </w:r>
      <w:r>
        <w:rPr>
          <w:rFonts w:ascii="黑体" w:hAnsi="黑体" w:eastAsia="黑体"/>
        </w:rPr>
        <w:tab/>
      </w:r>
      <w:r>
        <w:rPr>
          <w:rFonts w:ascii="黑体" w:hAnsi="黑体" w:eastAsia="黑体"/>
        </w:rPr>
        <w:fldChar w:fldCharType="begin"/>
      </w:r>
      <w:r>
        <w:rPr>
          <w:rFonts w:ascii="黑体" w:hAnsi="黑体" w:eastAsia="黑体"/>
        </w:rPr>
        <w:instrText xml:space="preserve"> PAGEREF _Toc81232272 \h </w:instrText>
      </w:r>
      <w:r>
        <w:rPr>
          <w:rFonts w:ascii="黑体" w:hAnsi="黑体" w:eastAsia="黑体"/>
        </w:rPr>
        <w:fldChar w:fldCharType="separate"/>
      </w:r>
      <w:r>
        <w:rPr>
          <w:rFonts w:ascii="黑体" w:hAnsi="黑体" w:eastAsia="黑体"/>
        </w:rPr>
        <w:t>26</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"_Toc81232273" </w:instrText>
      </w:r>
      <w:r>
        <w:fldChar w:fldCharType="separate"/>
      </w:r>
      <w:r>
        <w:rPr>
          <w:rStyle w:val="17"/>
          <w:rFonts w:hint="eastAsia" w:ascii="黑体" w:hAnsi="黑体" w:eastAsia="黑体"/>
        </w:rPr>
        <w:t>四、财政拨款收入支出决算总表</w:t>
      </w:r>
      <w:r>
        <w:rPr>
          <w:rFonts w:ascii="黑体" w:hAnsi="黑体" w:eastAsia="黑体"/>
        </w:rPr>
        <w:tab/>
      </w:r>
      <w:r>
        <w:rPr>
          <w:rFonts w:ascii="黑体" w:hAnsi="黑体" w:eastAsia="黑体"/>
        </w:rPr>
        <w:fldChar w:fldCharType="begin"/>
      </w:r>
      <w:r>
        <w:rPr>
          <w:rFonts w:ascii="黑体" w:hAnsi="黑体" w:eastAsia="黑体"/>
        </w:rPr>
        <w:instrText xml:space="preserve"> PAGEREF _Toc81232273 \h </w:instrText>
      </w:r>
      <w:r>
        <w:rPr>
          <w:rFonts w:ascii="黑体" w:hAnsi="黑体" w:eastAsia="黑体"/>
        </w:rPr>
        <w:fldChar w:fldCharType="separate"/>
      </w:r>
      <w:r>
        <w:rPr>
          <w:rFonts w:ascii="黑体" w:hAnsi="黑体" w:eastAsia="黑体"/>
        </w:rPr>
        <w:t>26</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"_Toc81232274" </w:instrText>
      </w:r>
      <w:r>
        <w:fldChar w:fldCharType="separate"/>
      </w:r>
      <w:r>
        <w:rPr>
          <w:rStyle w:val="17"/>
          <w:rFonts w:hint="eastAsia" w:ascii="黑体" w:hAnsi="黑体" w:eastAsia="黑体"/>
        </w:rPr>
        <w:t>五、财政拨款支出决算明细表</w:t>
      </w:r>
      <w:r>
        <w:rPr>
          <w:rFonts w:ascii="黑体" w:hAnsi="黑体" w:eastAsia="黑体"/>
        </w:rPr>
        <w:tab/>
      </w:r>
      <w:r>
        <w:rPr>
          <w:rFonts w:ascii="黑体" w:hAnsi="黑体" w:eastAsia="黑体"/>
        </w:rPr>
        <w:fldChar w:fldCharType="begin"/>
      </w:r>
      <w:r>
        <w:rPr>
          <w:rFonts w:ascii="黑体" w:hAnsi="黑体" w:eastAsia="黑体"/>
        </w:rPr>
        <w:instrText xml:space="preserve"> PAGEREF _Toc81232274 \h </w:instrText>
      </w:r>
      <w:r>
        <w:rPr>
          <w:rFonts w:ascii="黑体" w:hAnsi="黑体" w:eastAsia="黑体"/>
        </w:rPr>
        <w:fldChar w:fldCharType="separate"/>
      </w:r>
      <w:r>
        <w:rPr>
          <w:rFonts w:ascii="黑体" w:hAnsi="黑体" w:eastAsia="黑体"/>
        </w:rPr>
        <w:t>26</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"_Toc81232275" </w:instrText>
      </w:r>
      <w:r>
        <w:fldChar w:fldCharType="separate"/>
      </w:r>
      <w:r>
        <w:rPr>
          <w:rStyle w:val="17"/>
          <w:rFonts w:hint="eastAsia" w:ascii="黑体" w:hAnsi="黑体" w:eastAsia="黑体"/>
        </w:rPr>
        <w:t>六、一般公共预算财政拨款支出决算表</w:t>
      </w:r>
      <w:r>
        <w:rPr>
          <w:rFonts w:ascii="黑体" w:hAnsi="黑体" w:eastAsia="黑体"/>
        </w:rPr>
        <w:tab/>
      </w:r>
      <w:r>
        <w:rPr>
          <w:rFonts w:ascii="黑体" w:hAnsi="黑体" w:eastAsia="黑体"/>
        </w:rPr>
        <w:fldChar w:fldCharType="begin"/>
      </w:r>
      <w:r>
        <w:rPr>
          <w:rFonts w:ascii="黑体" w:hAnsi="黑体" w:eastAsia="黑体"/>
        </w:rPr>
        <w:instrText xml:space="preserve"> PAGEREF _Toc81232275 \h </w:instrText>
      </w:r>
      <w:r>
        <w:rPr>
          <w:rFonts w:ascii="黑体" w:hAnsi="黑体" w:eastAsia="黑体"/>
        </w:rPr>
        <w:fldChar w:fldCharType="separate"/>
      </w:r>
      <w:r>
        <w:rPr>
          <w:rFonts w:ascii="黑体" w:hAnsi="黑体" w:eastAsia="黑体"/>
        </w:rPr>
        <w:t>26</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"_Toc81232276" </w:instrText>
      </w:r>
      <w:r>
        <w:fldChar w:fldCharType="separate"/>
      </w:r>
      <w:r>
        <w:rPr>
          <w:rStyle w:val="17"/>
          <w:rFonts w:hint="eastAsia" w:ascii="黑体" w:hAnsi="黑体" w:eastAsia="黑体"/>
        </w:rPr>
        <w:t>七、一般公共预算财政拨款支出决算明细表</w:t>
      </w:r>
      <w:r>
        <w:rPr>
          <w:rFonts w:ascii="黑体" w:hAnsi="黑体" w:eastAsia="黑体"/>
        </w:rPr>
        <w:tab/>
      </w:r>
      <w:r>
        <w:rPr>
          <w:rFonts w:ascii="黑体" w:hAnsi="黑体" w:eastAsia="黑体"/>
        </w:rPr>
        <w:fldChar w:fldCharType="begin"/>
      </w:r>
      <w:r>
        <w:rPr>
          <w:rFonts w:ascii="黑体" w:hAnsi="黑体" w:eastAsia="黑体"/>
        </w:rPr>
        <w:instrText xml:space="preserve"> PAGEREF _Toc81232276 \h </w:instrText>
      </w:r>
      <w:r>
        <w:rPr>
          <w:rFonts w:ascii="黑体" w:hAnsi="黑体" w:eastAsia="黑体"/>
        </w:rPr>
        <w:fldChar w:fldCharType="separate"/>
      </w:r>
      <w:r>
        <w:rPr>
          <w:rFonts w:ascii="黑体" w:hAnsi="黑体" w:eastAsia="黑体"/>
        </w:rPr>
        <w:t>26</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"_Toc81232277" </w:instrText>
      </w:r>
      <w:r>
        <w:fldChar w:fldCharType="separate"/>
      </w:r>
      <w:r>
        <w:rPr>
          <w:rStyle w:val="17"/>
          <w:rFonts w:hint="eastAsia" w:ascii="黑体" w:hAnsi="黑体" w:eastAsia="黑体"/>
        </w:rPr>
        <w:t>八、一般公共预算财政拨款基本支出决算表</w:t>
      </w:r>
      <w:r>
        <w:rPr>
          <w:rFonts w:ascii="黑体" w:hAnsi="黑体" w:eastAsia="黑体"/>
        </w:rPr>
        <w:tab/>
      </w:r>
      <w:r>
        <w:rPr>
          <w:rFonts w:ascii="黑体" w:hAnsi="黑体" w:eastAsia="黑体"/>
        </w:rPr>
        <w:fldChar w:fldCharType="begin"/>
      </w:r>
      <w:r>
        <w:rPr>
          <w:rFonts w:ascii="黑体" w:hAnsi="黑体" w:eastAsia="黑体"/>
        </w:rPr>
        <w:instrText xml:space="preserve"> PAGEREF _Toc81232277 \h </w:instrText>
      </w:r>
      <w:r>
        <w:rPr>
          <w:rFonts w:ascii="黑体" w:hAnsi="黑体" w:eastAsia="黑体"/>
        </w:rPr>
        <w:fldChar w:fldCharType="separate"/>
      </w:r>
      <w:r>
        <w:rPr>
          <w:rFonts w:ascii="黑体" w:hAnsi="黑体" w:eastAsia="黑体"/>
        </w:rPr>
        <w:t>26</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"_Toc81232278" </w:instrText>
      </w:r>
      <w:r>
        <w:fldChar w:fldCharType="separate"/>
      </w:r>
      <w:r>
        <w:rPr>
          <w:rStyle w:val="17"/>
          <w:rFonts w:hint="eastAsia" w:ascii="黑体" w:hAnsi="黑体" w:eastAsia="黑体"/>
        </w:rPr>
        <w:t>九、一般公共预算财政拨款项目支出决算表</w:t>
      </w:r>
      <w:r>
        <w:rPr>
          <w:rFonts w:ascii="黑体" w:hAnsi="黑体" w:eastAsia="黑体"/>
        </w:rPr>
        <w:tab/>
      </w:r>
      <w:r>
        <w:rPr>
          <w:rFonts w:ascii="黑体" w:hAnsi="黑体" w:eastAsia="黑体"/>
        </w:rPr>
        <w:fldChar w:fldCharType="begin"/>
      </w:r>
      <w:r>
        <w:rPr>
          <w:rFonts w:ascii="黑体" w:hAnsi="黑体" w:eastAsia="黑体"/>
        </w:rPr>
        <w:instrText xml:space="preserve"> PAGEREF _Toc81232278 \h </w:instrText>
      </w:r>
      <w:r>
        <w:rPr>
          <w:rFonts w:ascii="黑体" w:hAnsi="黑体" w:eastAsia="黑体"/>
        </w:rPr>
        <w:fldChar w:fldCharType="separate"/>
      </w:r>
      <w:r>
        <w:rPr>
          <w:rFonts w:ascii="黑体" w:hAnsi="黑体" w:eastAsia="黑体"/>
        </w:rPr>
        <w:t>26</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"_Toc81232279" </w:instrText>
      </w:r>
      <w:r>
        <w:fldChar w:fldCharType="separate"/>
      </w:r>
      <w:r>
        <w:rPr>
          <w:rStyle w:val="17"/>
          <w:rFonts w:hint="eastAsia" w:ascii="黑体" w:hAnsi="黑体" w:eastAsia="黑体"/>
        </w:rPr>
        <w:t>十、一般公共预算财政拨款</w:t>
      </w:r>
      <w:r>
        <w:rPr>
          <w:rStyle w:val="17"/>
          <w:rFonts w:ascii="黑体" w:hAnsi="黑体" w:eastAsia="黑体"/>
        </w:rPr>
        <w:t>“</w:t>
      </w:r>
      <w:r>
        <w:rPr>
          <w:rStyle w:val="17"/>
          <w:rFonts w:hint="eastAsia" w:ascii="黑体" w:hAnsi="黑体" w:eastAsia="黑体"/>
        </w:rPr>
        <w:t>三公</w:t>
      </w:r>
      <w:r>
        <w:rPr>
          <w:rStyle w:val="17"/>
          <w:rFonts w:ascii="黑体" w:hAnsi="黑体" w:eastAsia="黑体"/>
        </w:rPr>
        <w:t>”</w:t>
      </w:r>
      <w:r>
        <w:rPr>
          <w:rStyle w:val="17"/>
          <w:rFonts w:hint="eastAsia" w:ascii="黑体" w:hAnsi="黑体" w:eastAsia="黑体"/>
        </w:rPr>
        <w:t>经费支出决算表</w:t>
      </w:r>
      <w:r>
        <w:rPr>
          <w:rFonts w:ascii="黑体" w:hAnsi="黑体" w:eastAsia="黑体"/>
        </w:rPr>
        <w:tab/>
      </w:r>
      <w:r>
        <w:rPr>
          <w:rFonts w:ascii="黑体" w:hAnsi="黑体" w:eastAsia="黑体"/>
        </w:rPr>
        <w:fldChar w:fldCharType="begin"/>
      </w:r>
      <w:r>
        <w:rPr>
          <w:rFonts w:ascii="黑体" w:hAnsi="黑体" w:eastAsia="黑体"/>
        </w:rPr>
        <w:instrText xml:space="preserve"> PAGEREF _Toc81232279 \h </w:instrText>
      </w:r>
      <w:r>
        <w:rPr>
          <w:rFonts w:ascii="黑体" w:hAnsi="黑体" w:eastAsia="黑体"/>
        </w:rPr>
        <w:fldChar w:fldCharType="separate"/>
      </w:r>
      <w:r>
        <w:rPr>
          <w:rFonts w:ascii="黑体" w:hAnsi="黑体" w:eastAsia="黑体"/>
        </w:rPr>
        <w:t>26</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"_Toc81232280" </w:instrText>
      </w:r>
      <w:r>
        <w:fldChar w:fldCharType="separate"/>
      </w:r>
      <w:r>
        <w:rPr>
          <w:rStyle w:val="17"/>
          <w:rFonts w:hint="eastAsia" w:ascii="黑体" w:hAnsi="黑体" w:eastAsia="黑体"/>
        </w:rPr>
        <w:t>十一、政府性基金预算财政拨款收入支出决算表</w:t>
      </w:r>
      <w:r>
        <w:rPr>
          <w:rFonts w:ascii="黑体" w:hAnsi="黑体" w:eastAsia="黑体"/>
        </w:rPr>
        <w:tab/>
      </w:r>
      <w:r>
        <w:rPr>
          <w:rFonts w:ascii="黑体" w:hAnsi="黑体" w:eastAsia="黑体"/>
        </w:rPr>
        <w:fldChar w:fldCharType="begin"/>
      </w:r>
      <w:r>
        <w:rPr>
          <w:rFonts w:ascii="黑体" w:hAnsi="黑体" w:eastAsia="黑体"/>
        </w:rPr>
        <w:instrText xml:space="preserve"> PAGEREF _Toc81232280 \h </w:instrText>
      </w:r>
      <w:r>
        <w:rPr>
          <w:rFonts w:ascii="黑体" w:hAnsi="黑体" w:eastAsia="黑体"/>
        </w:rPr>
        <w:fldChar w:fldCharType="separate"/>
      </w:r>
      <w:r>
        <w:rPr>
          <w:rFonts w:ascii="黑体" w:hAnsi="黑体" w:eastAsia="黑体"/>
        </w:rPr>
        <w:t>26</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"_Toc81232281" </w:instrText>
      </w:r>
      <w:r>
        <w:fldChar w:fldCharType="separate"/>
      </w:r>
      <w:r>
        <w:rPr>
          <w:rStyle w:val="17"/>
          <w:rFonts w:hint="eastAsia" w:ascii="黑体" w:hAnsi="黑体" w:eastAsia="黑体"/>
        </w:rPr>
        <w:t>十二、政府性基金预算财政拨款</w:t>
      </w:r>
      <w:r>
        <w:rPr>
          <w:rStyle w:val="17"/>
          <w:rFonts w:ascii="黑体" w:hAnsi="黑体" w:eastAsia="黑体"/>
        </w:rPr>
        <w:t>“</w:t>
      </w:r>
      <w:r>
        <w:rPr>
          <w:rStyle w:val="17"/>
          <w:rFonts w:hint="eastAsia" w:ascii="黑体" w:hAnsi="黑体" w:eastAsia="黑体"/>
        </w:rPr>
        <w:t>三公</w:t>
      </w:r>
      <w:r>
        <w:rPr>
          <w:rStyle w:val="17"/>
          <w:rFonts w:ascii="黑体" w:hAnsi="黑体" w:eastAsia="黑体"/>
        </w:rPr>
        <w:t>”</w:t>
      </w:r>
      <w:r>
        <w:rPr>
          <w:rStyle w:val="17"/>
          <w:rFonts w:hint="eastAsia" w:ascii="黑体" w:hAnsi="黑体" w:eastAsia="黑体"/>
        </w:rPr>
        <w:t>经费支出决算表</w:t>
      </w:r>
      <w:r>
        <w:rPr>
          <w:rFonts w:ascii="黑体" w:hAnsi="黑体" w:eastAsia="黑体"/>
        </w:rPr>
        <w:tab/>
      </w:r>
      <w:r>
        <w:rPr>
          <w:rFonts w:ascii="黑体" w:hAnsi="黑体" w:eastAsia="黑体"/>
        </w:rPr>
        <w:fldChar w:fldCharType="begin"/>
      </w:r>
      <w:r>
        <w:rPr>
          <w:rFonts w:ascii="黑体" w:hAnsi="黑体" w:eastAsia="黑体"/>
        </w:rPr>
        <w:instrText xml:space="preserve"> PAGEREF _Toc81232281 \h </w:instrText>
      </w:r>
      <w:r>
        <w:rPr>
          <w:rFonts w:ascii="黑体" w:hAnsi="黑体" w:eastAsia="黑体"/>
        </w:rPr>
        <w:fldChar w:fldCharType="separate"/>
      </w:r>
      <w:r>
        <w:rPr>
          <w:rFonts w:ascii="黑体" w:hAnsi="黑体" w:eastAsia="黑体"/>
        </w:rPr>
        <w:t>26</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"_Toc81232282" </w:instrText>
      </w:r>
      <w:r>
        <w:fldChar w:fldCharType="separate"/>
      </w:r>
      <w:r>
        <w:rPr>
          <w:rStyle w:val="17"/>
          <w:rFonts w:hint="eastAsia" w:ascii="黑体" w:hAnsi="黑体" w:eastAsia="黑体"/>
        </w:rPr>
        <w:t>十三、国有资本经营预算财政拨款收入支出决算表</w:t>
      </w:r>
      <w:r>
        <w:rPr>
          <w:rFonts w:ascii="黑体" w:hAnsi="黑体" w:eastAsia="黑体"/>
        </w:rPr>
        <w:tab/>
      </w:r>
      <w:r>
        <w:rPr>
          <w:rFonts w:ascii="黑体" w:hAnsi="黑体" w:eastAsia="黑体"/>
        </w:rPr>
        <w:fldChar w:fldCharType="begin"/>
      </w:r>
      <w:r>
        <w:rPr>
          <w:rFonts w:ascii="黑体" w:hAnsi="黑体" w:eastAsia="黑体"/>
        </w:rPr>
        <w:instrText xml:space="preserve"> PAGEREF _Toc81232282 \h </w:instrText>
      </w:r>
      <w:r>
        <w:rPr>
          <w:rFonts w:ascii="黑体" w:hAnsi="黑体" w:eastAsia="黑体"/>
        </w:rPr>
        <w:fldChar w:fldCharType="separate"/>
      </w:r>
      <w:r>
        <w:rPr>
          <w:rFonts w:ascii="黑体" w:hAnsi="黑体" w:eastAsia="黑体"/>
        </w:rPr>
        <w:t>26</w:t>
      </w:r>
      <w:r>
        <w:rPr>
          <w:rFonts w:ascii="黑体" w:hAnsi="黑体" w:eastAsia="黑体"/>
        </w:rPr>
        <w:fldChar w:fldCharType="end"/>
      </w:r>
      <w:r>
        <w:rPr>
          <w:rFonts w:ascii="黑体" w:hAnsi="黑体" w:eastAsia="黑体"/>
        </w:rPr>
        <w:fldChar w:fldCharType="end"/>
      </w:r>
    </w:p>
    <w:p>
      <w:pPr>
        <w:pStyle w:val="10"/>
        <w:rPr>
          <w:rFonts w:ascii="黑体" w:hAnsi="黑体" w:eastAsia="黑体"/>
          <w:szCs w:val="22"/>
        </w:rPr>
      </w:pPr>
      <w:r>
        <w:fldChar w:fldCharType="begin"/>
      </w:r>
      <w:r>
        <w:instrText xml:space="preserve"> HYPERLINK \l "_Toc81232283" </w:instrText>
      </w:r>
      <w:r>
        <w:fldChar w:fldCharType="separate"/>
      </w:r>
      <w:r>
        <w:rPr>
          <w:rStyle w:val="17"/>
          <w:rFonts w:hint="eastAsia" w:ascii="黑体" w:hAnsi="黑体" w:eastAsia="黑体"/>
        </w:rPr>
        <w:t>十四、国有资本经营预算财政拨款支出决算表</w:t>
      </w:r>
      <w:r>
        <w:rPr>
          <w:rFonts w:ascii="黑体" w:hAnsi="黑体" w:eastAsia="黑体"/>
        </w:rPr>
        <w:tab/>
      </w:r>
      <w:r>
        <w:rPr>
          <w:rFonts w:ascii="黑体" w:hAnsi="黑体" w:eastAsia="黑体"/>
        </w:rPr>
        <w:fldChar w:fldCharType="begin"/>
      </w:r>
      <w:r>
        <w:rPr>
          <w:rFonts w:ascii="黑体" w:hAnsi="黑体" w:eastAsia="黑体"/>
        </w:rPr>
        <w:instrText xml:space="preserve"> PAGEREF _Toc81232283 \h </w:instrText>
      </w:r>
      <w:r>
        <w:rPr>
          <w:rFonts w:ascii="黑体" w:hAnsi="黑体" w:eastAsia="黑体"/>
        </w:rPr>
        <w:fldChar w:fldCharType="separate"/>
      </w:r>
      <w:r>
        <w:rPr>
          <w:rFonts w:ascii="黑体" w:hAnsi="黑体" w:eastAsia="黑体"/>
        </w:rPr>
        <w:t>26</w:t>
      </w:r>
      <w:r>
        <w:rPr>
          <w:rFonts w:ascii="黑体" w:hAnsi="黑体" w:eastAsia="黑体"/>
        </w:rPr>
        <w:fldChar w:fldCharType="end"/>
      </w:r>
      <w:r>
        <w:rPr>
          <w:rFonts w:ascii="黑体" w:hAnsi="黑体" w:eastAsia="黑体"/>
        </w:rPr>
        <w:fldChar w:fldCharType="end"/>
      </w:r>
    </w:p>
    <w:p>
      <w:pPr>
        <w:pStyle w:val="10"/>
        <w:rPr>
          <w:rStyle w:val="17"/>
          <w:rFonts w:hint="eastAsia" w:ascii="黑体" w:hAnsi="黑体" w:eastAsia="黑体"/>
          <w:color w:val="000000"/>
          <w:u w:val="none"/>
          <w:lang w:val="en-US" w:eastAsia="zh-CN"/>
        </w:rPr>
      </w:pPr>
      <w:r>
        <w:rPr>
          <w:rFonts w:ascii="黑体" w:hAnsi="黑体" w:eastAsia="黑体"/>
        </w:rPr>
        <w:fldChar w:fldCharType="end"/>
      </w:r>
    </w:p>
    <w:p/>
    <w:p>
      <w:pPr>
        <w:rPr>
          <w:rFonts w:hint="eastAsia"/>
        </w:rPr>
      </w:pPr>
      <w:bookmarkStart w:id="11" w:name="_Toc17700_WPSOffice_Level1"/>
      <w:bookmarkStart w:id="12" w:name="_Toc80805969"/>
      <w:bookmarkStart w:id="13" w:name="_Toc80806102"/>
    </w:p>
    <w:p>
      <w:pPr>
        <w:pStyle w:val="2"/>
        <w:spacing w:before="173"/>
        <w:rPr>
          <w:rFonts w:hint="eastAsia"/>
        </w:rPr>
      </w:pPr>
    </w:p>
    <w:p>
      <w:pPr>
        <w:pStyle w:val="2"/>
        <w:spacing w:before="173"/>
        <w:rPr>
          <w:rFonts w:hint="eastAsia"/>
        </w:rPr>
      </w:pPr>
    </w:p>
    <w:p>
      <w:pPr>
        <w:pStyle w:val="3"/>
        <w:spacing w:before="0" w:line="600" w:lineRule="exact"/>
        <w:jc w:val="center"/>
        <w:rPr>
          <w:rStyle w:val="19"/>
          <w:rFonts w:eastAsia="方正小标宋简体"/>
          <w:b w:val="0"/>
          <w:bCs w:val="0"/>
          <w:color w:val="000000"/>
        </w:rPr>
      </w:pPr>
      <w:bookmarkStart w:id="14" w:name="_Toc81232244"/>
      <w:r>
        <w:rPr>
          <w:rFonts w:eastAsia="方正小标宋简体"/>
          <w:b w:val="0"/>
          <w:color w:val="000000"/>
        </w:rPr>
        <w:t xml:space="preserve">第一部分 </w:t>
      </w:r>
      <w:r>
        <w:rPr>
          <w:rStyle w:val="19"/>
          <w:rFonts w:hint="eastAsia" w:eastAsia="方正小标宋简体"/>
          <w:b w:val="0"/>
          <w:bCs w:val="0"/>
          <w:color w:val="000000"/>
        </w:rPr>
        <w:t>单位</w:t>
      </w:r>
      <w:r>
        <w:rPr>
          <w:rStyle w:val="19"/>
          <w:rFonts w:eastAsia="方正小标宋简体"/>
          <w:b w:val="0"/>
          <w:bCs w:val="0"/>
          <w:color w:val="000000"/>
        </w:rPr>
        <w:t>概况</w:t>
      </w:r>
      <w:bookmarkEnd w:id="11"/>
      <w:bookmarkEnd w:id="12"/>
      <w:bookmarkEnd w:id="13"/>
      <w:bookmarkEnd w:id="14"/>
    </w:p>
    <w:p>
      <w:pPr>
        <w:pStyle w:val="4"/>
        <w:spacing w:line="600" w:lineRule="exact"/>
        <w:rPr>
          <w:rFonts w:hint="eastAsia" w:ascii="Times New Roman" w:hAnsi="Times New Roman" w:eastAsia="黑体"/>
          <w:b w:val="0"/>
          <w:color w:val="000000"/>
        </w:rPr>
      </w:pPr>
      <w:bookmarkStart w:id="15" w:name="_Toc15377197"/>
      <w:r>
        <w:rPr>
          <w:rFonts w:ascii="Times New Roman" w:hAnsi="Times New Roman" w:eastAsia="黑体"/>
          <w:b w:val="0"/>
          <w:color w:val="000000"/>
        </w:rPr>
        <w:t xml:space="preserve">    </w:t>
      </w:r>
      <w:bookmarkStart w:id="16" w:name="_Toc80805970"/>
      <w:bookmarkStart w:id="17" w:name="_Toc80806103"/>
      <w:bookmarkStart w:id="18" w:name="_Toc25905_WPSOffice_Level2"/>
      <w:bookmarkStart w:id="19" w:name="_Toc16154358"/>
      <w:bookmarkStart w:id="20" w:name="_Toc81232245"/>
      <w:r>
        <w:rPr>
          <w:rFonts w:ascii="Times New Roman" w:hAnsi="Times New Roman" w:eastAsia="黑体"/>
          <w:b w:val="0"/>
          <w:color w:val="000000"/>
        </w:rPr>
        <w:t>一、</w:t>
      </w:r>
      <w:bookmarkEnd w:id="15"/>
      <w:bookmarkEnd w:id="16"/>
      <w:bookmarkEnd w:id="17"/>
      <w:bookmarkEnd w:id="18"/>
      <w:bookmarkEnd w:id="19"/>
      <w:r>
        <w:rPr>
          <w:rFonts w:hint="eastAsia" w:ascii="Times New Roman" w:hAnsi="Times New Roman" w:eastAsia="黑体"/>
          <w:b w:val="0"/>
          <w:color w:val="000000"/>
        </w:rPr>
        <w:t>职能简介</w:t>
      </w:r>
      <w:bookmarkEnd w:id="20"/>
    </w:p>
    <w:p>
      <w:pPr>
        <w:adjustRightInd w:val="0"/>
        <w:snapToGrid w:val="0"/>
        <w:spacing w:line="560" w:lineRule="exact"/>
        <w:ind w:firstLine="640" w:firstLineChars="200"/>
        <w:rPr>
          <w:rFonts w:eastAsia="方正仿宋简体"/>
          <w:sz w:val="32"/>
          <w:szCs w:val="32"/>
        </w:rPr>
      </w:pPr>
      <w:r>
        <w:rPr>
          <w:rFonts w:eastAsia="方正仿宋简体"/>
          <w:sz w:val="32"/>
          <w:szCs w:val="32"/>
        </w:rPr>
        <w:t>负责研究拟订全省事业单位登记管理的政策和具体实施办法并组织实施。负责省属事业单位和国家事业单位登记管理机关授权的事业单位登记管理工作，负责省本级党政群机关统一社会信用代码赋码颁（换）证工作，指导和监督检查省级以下各级事业单位登记管理、统一社会信用代码赋码颁（换）证工作。依法处理违反事业单位登记管理法规的行为。承办省本级登记管辖范围内的事业单位法定代表人培训。</w:t>
      </w:r>
    </w:p>
    <w:p>
      <w:pPr>
        <w:pStyle w:val="4"/>
        <w:spacing w:line="600" w:lineRule="exact"/>
        <w:rPr>
          <w:rFonts w:hint="eastAsia" w:ascii="Times New Roman" w:hAnsi="Times New Roman" w:eastAsia="黑体"/>
          <w:b w:val="0"/>
          <w:color w:val="000000"/>
        </w:rPr>
      </w:pPr>
      <w:bookmarkStart w:id="21" w:name="_Toc20374_WPSOffice_Level3"/>
      <w:bookmarkStart w:id="22" w:name="_Toc10048_WPSOffice_Level3"/>
      <w:bookmarkStart w:id="23" w:name="_Toc25506_WPSOffice_Level3"/>
      <w:bookmarkStart w:id="24" w:name="_Toc28058_WPSOffice_Level3"/>
      <w:bookmarkStart w:id="25" w:name="_Toc11929_WPSOffice_Level3"/>
      <w:bookmarkStart w:id="26" w:name="_Toc11435_WPSOffice_Level3"/>
      <w:bookmarkStart w:id="27" w:name="_Toc28332_WPSOffice_Level3"/>
      <w:bookmarkStart w:id="28" w:name="_Toc27389_WPSOffice_Level3"/>
      <w:r>
        <w:rPr>
          <w:rFonts w:hint="eastAsia" w:ascii="Times New Roman" w:hAnsi="Times New Roman" w:eastAsia="黑体"/>
          <w:b w:val="0"/>
          <w:color w:val="000000"/>
        </w:rPr>
        <w:t xml:space="preserve">    </w:t>
      </w:r>
      <w:bookmarkStart w:id="29" w:name="_Toc81232246"/>
      <w:r>
        <w:rPr>
          <w:rFonts w:hint="eastAsia" w:ascii="Times New Roman" w:hAnsi="Times New Roman" w:eastAsia="黑体"/>
          <w:b w:val="0"/>
          <w:color w:val="000000"/>
        </w:rPr>
        <w:t>二、</w:t>
      </w:r>
      <w:r>
        <w:rPr>
          <w:rFonts w:ascii="Times New Roman" w:hAnsi="Times New Roman" w:eastAsia="黑体"/>
          <w:b w:val="0"/>
          <w:color w:val="000000"/>
        </w:rPr>
        <w:t>20</w:t>
      </w:r>
      <w:r>
        <w:rPr>
          <w:rFonts w:hint="eastAsia" w:ascii="Times New Roman" w:hAnsi="Times New Roman" w:eastAsia="黑体"/>
          <w:b w:val="0"/>
          <w:color w:val="000000"/>
        </w:rPr>
        <w:t>20</w:t>
      </w:r>
      <w:r>
        <w:rPr>
          <w:rFonts w:ascii="Times New Roman" w:hAnsi="Times New Roman" w:eastAsia="黑体"/>
          <w:b w:val="0"/>
          <w:color w:val="000000"/>
        </w:rPr>
        <w:t>年重点工作完成情况</w:t>
      </w:r>
      <w:bookmarkEnd w:id="21"/>
      <w:bookmarkEnd w:id="22"/>
      <w:bookmarkEnd w:id="23"/>
      <w:bookmarkEnd w:id="24"/>
      <w:bookmarkEnd w:id="25"/>
      <w:bookmarkEnd w:id="26"/>
      <w:bookmarkEnd w:id="27"/>
      <w:bookmarkEnd w:id="28"/>
      <w:bookmarkEnd w:id="29"/>
      <w:bookmarkStart w:id="30" w:name="_Toc15377200"/>
      <w:bookmarkStart w:id="31" w:name="_Toc16154360"/>
    </w:p>
    <w:p>
      <w:pPr>
        <w:spacing w:line="560" w:lineRule="exact"/>
        <w:ind w:firstLine="640" w:firstLineChars="200"/>
        <w:rPr>
          <w:rFonts w:eastAsia="方正仿宋简体"/>
          <w:sz w:val="32"/>
          <w:szCs w:val="32"/>
        </w:rPr>
      </w:pPr>
      <w:r>
        <w:rPr>
          <w:rFonts w:hint="eastAsia" w:eastAsia="方正仿宋简体"/>
          <w:bCs/>
          <w:sz w:val="32"/>
          <w:szCs w:val="32"/>
        </w:rPr>
        <w:t>（一）</w:t>
      </w:r>
      <w:r>
        <w:rPr>
          <w:rFonts w:eastAsia="方正仿宋简体"/>
          <w:bCs/>
          <w:sz w:val="32"/>
          <w:szCs w:val="32"/>
        </w:rPr>
        <w:t>坚持强化理论武装，筑牢事登工作思想政治基础。</w:t>
      </w:r>
      <w:r>
        <w:rPr>
          <w:rFonts w:eastAsia="方正仿宋简体"/>
          <w:sz w:val="32"/>
          <w:szCs w:val="32"/>
        </w:rPr>
        <w:t>不断提升政治站位，自觉增强“四个意识”，坚定“四个自信”，做到“两个维护”。按照办机关党委的安排部署，全年来通过组织生活会、支部会、局务会等多种形式，组织全局党员干部职工集中深入学习领会党的十九届四中、五中全会，省委十一届七次、八次全会精神和《四川省贯彻&lt;中国共产党机构编制工作条例&gt;实施办法》等机构编制法规政策共15次，开展主题党日活动2次，开展专题讨论4次。</w:t>
      </w:r>
    </w:p>
    <w:p>
      <w:pPr>
        <w:spacing w:line="560" w:lineRule="exact"/>
        <w:ind w:firstLine="640" w:firstLineChars="200"/>
        <w:rPr>
          <w:rFonts w:eastAsia="方正仿宋简体"/>
          <w:sz w:val="32"/>
          <w:szCs w:val="32"/>
        </w:rPr>
      </w:pPr>
      <w:r>
        <w:rPr>
          <w:rFonts w:hint="eastAsia" w:eastAsia="方正仿宋简体"/>
          <w:bCs/>
          <w:sz w:val="32"/>
          <w:szCs w:val="32"/>
        </w:rPr>
        <w:t>（二）</w:t>
      </w:r>
      <w:r>
        <w:rPr>
          <w:rFonts w:eastAsia="方正仿宋简体"/>
          <w:bCs/>
          <w:sz w:val="32"/>
          <w:szCs w:val="32"/>
        </w:rPr>
        <w:t>坚持服务中心大局，确保登记服务和疫情防控两不误。</w:t>
      </w:r>
      <w:r>
        <w:rPr>
          <w:rFonts w:eastAsia="方正仿宋简体"/>
          <w:sz w:val="32"/>
          <w:szCs w:val="32"/>
        </w:rPr>
        <w:t>2月初，制定印发《关于新型冠状病毒疫情防控期间登记赋码有关工作的通知》（川事登〔2020〕1号），</w:t>
      </w:r>
      <w:r>
        <w:rPr>
          <w:rFonts w:eastAsia="方正仿宋简体"/>
          <w:bCs/>
          <w:kern w:val="0"/>
          <w:sz w:val="32"/>
          <w:szCs w:val="32"/>
        </w:rPr>
        <w:t>要求</w:t>
      </w:r>
      <w:r>
        <w:rPr>
          <w:rFonts w:eastAsia="方正仿宋简体"/>
          <w:sz w:val="32"/>
          <w:szCs w:val="32"/>
        </w:rPr>
        <w:t>在新冠肺炎疫情防控期间，全省各级登记管理机关主要实行“不见面”登记赋码业务办理，最大限度减少不必要的人员聚集和流动，降低感染风险。今年以来，省本级共办理事业单位法人设立登记34家、核准注销登记27家、核准变更登记370多家，证书到期换证180多家、发布登记公告57期；办理机关群团统一社会信用代码赋码颁（换）证40多家（含在我局登记赋码的各级税务、海关等分支机构），确保了在持续做好常态化疫情防控的同时，登记赋码工作不断档、标准不下降。</w:t>
      </w:r>
    </w:p>
    <w:p>
      <w:pPr>
        <w:spacing w:line="560" w:lineRule="exact"/>
        <w:ind w:firstLine="640" w:firstLineChars="200"/>
        <w:rPr>
          <w:rFonts w:eastAsia="方正仿宋简体"/>
          <w:sz w:val="32"/>
          <w:szCs w:val="32"/>
        </w:rPr>
      </w:pPr>
      <w:r>
        <w:rPr>
          <w:rFonts w:hint="eastAsia" w:eastAsia="方正仿宋简体"/>
          <w:bCs/>
          <w:sz w:val="32"/>
          <w:szCs w:val="32"/>
        </w:rPr>
        <w:t>（三）</w:t>
      </w:r>
      <w:r>
        <w:rPr>
          <w:rFonts w:eastAsia="方正仿宋简体"/>
          <w:bCs/>
          <w:sz w:val="32"/>
          <w:szCs w:val="32"/>
        </w:rPr>
        <w:t>坚持推进法规建设，完成全省《条例》修订评估工作。</w:t>
      </w:r>
      <w:r>
        <w:rPr>
          <w:rFonts w:eastAsia="方正仿宋简体"/>
          <w:sz w:val="32"/>
          <w:szCs w:val="32"/>
        </w:rPr>
        <w:t>4月初，按照国家局《关于开展&lt;事业单位登记管理暂行条例&gt;评估工作的通知》（国事登函〔2020〕10号）要求，经报办领导同意后，印发《省委编办关于做好&lt;事业单位登记管理暂行条例&gt;评估工作的通知》（川编办函〔2020〕70号）至21个市（州），安排部署全省评估调查工作。在历时一个多月的努力后，共收集全省各类数据近1500项、问题建议300余条，经逐一核实并甄选分类，归纳总结形成四川省评估调查表，按时保质报送国家局。</w:t>
      </w:r>
    </w:p>
    <w:p>
      <w:pPr>
        <w:spacing w:line="560" w:lineRule="exact"/>
        <w:ind w:firstLine="640" w:firstLineChars="200"/>
        <w:rPr>
          <w:rFonts w:eastAsia="方正仿宋简体"/>
          <w:sz w:val="32"/>
          <w:szCs w:val="32"/>
        </w:rPr>
      </w:pPr>
      <w:r>
        <w:rPr>
          <w:rFonts w:hint="eastAsia" w:eastAsia="方正仿宋简体"/>
          <w:bCs/>
          <w:sz w:val="32"/>
          <w:szCs w:val="32"/>
        </w:rPr>
        <w:t>（四）</w:t>
      </w:r>
      <w:r>
        <w:rPr>
          <w:rFonts w:eastAsia="方正仿宋简体"/>
          <w:bCs/>
          <w:sz w:val="32"/>
          <w:szCs w:val="32"/>
        </w:rPr>
        <w:t>坚持公正公开，圆满完成2019年度法人年度报告公示。</w:t>
      </w:r>
      <w:r>
        <w:rPr>
          <w:rFonts w:eastAsia="方正仿宋简体"/>
          <w:sz w:val="32"/>
          <w:szCs w:val="32"/>
        </w:rPr>
        <w:t>分3次通过政务短信平台向省本级（含中央在川）事业单位法定代表人定向推送工作通知近4000人次，利用“四川事业单位在线”网站、QQ工作群、党员示范岗等途径，宣传解读相关法规政策3100余条，电话或线上答疑解惑1500余人次，坚持网上提交不见面，让办事人员不跑腿。截止5月31日，2019年度对外公示1081个</w:t>
      </w:r>
      <w:r>
        <w:rPr>
          <w:rFonts w:hint="eastAsia" w:eastAsia="方正仿宋简体"/>
          <w:sz w:val="32"/>
          <w:szCs w:val="32"/>
        </w:rPr>
        <w:t>事业单位</w:t>
      </w:r>
      <w:r>
        <w:rPr>
          <w:rFonts w:eastAsia="方正仿宋简体"/>
          <w:sz w:val="32"/>
          <w:szCs w:val="32"/>
        </w:rPr>
        <w:t>，</w:t>
      </w:r>
      <w:r>
        <w:rPr>
          <w:rFonts w:eastAsia="方正仿宋简体"/>
          <w:color w:val="000000"/>
          <w:sz w:val="32"/>
          <w:szCs w:val="32"/>
        </w:rPr>
        <w:t>公示率达</w:t>
      </w:r>
      <w:r>
        <w:rPr>
          <w:rFonts w:hint="eastAsia" w:eastAsia="方正仿宋简体"/>
          <w:color w:val="000000"/>
          <w:sz w:val="32"/>
          <w:szCs w:val="32"/>
        </w:rPr>
        <w:t>100</w:t>
      </w:r>
      <w:r>
        <w:rPr>
          <w:rFonts w:eastAsia="方正仿宋简体"/>
          <w:color w:val="000000"/>
          <w:sz w:val="32"/>
          <w:szCs w:val="32"/>
        </w:rPr>
        <w:t>%。</w:t>
      </w:r>
    </w:p>
    <w:p>
      <w:pPr>
        <w:spacing w:line="560" w:lineRule="exact"/>
        <w:ind w:firstLine="640" w:firstLineChars="200"/>
        <w:rPr>
          <w:rFonts w:eastAsia="方正仿宋简体"/>
          <w:sz w:val="32"/>
          <w:szCs w:val="32"/>
        </w:rPr>
      </w:pPr>
      <w:r>
        <w:rPr>
          <w:rFonts w:hint="eastAsia" w:eastAsia="方正仿宋简体"/>
          <w:bCs/>
          <w:sz w:val="32"/>
          <w:szCs w:val="32"/>
        </w:rPr>
        <w:t>（五）</w:t>
      </w:r>
      <w:r>
        <w:rPr>
          <w:rFonts w:eastAsia="方正仿宋简体"/>
          <w:bCs/>
          <w:sz w:val="32"/>
          <w:szCs w:val="32"/>
        </w:rPr>
        <w:t>坚持公平透明，扎实开展法人公示信息抽查。</w:t>
      </w:r>
      <w:r>
        <w:rPr>
          <w:rFonts w:eastAsia="方正仿宋简体"/>
          <w:sz w:val="32"/>
          <w:szCs w:val="32"/>
        </w:rPr>
        <w:t>更新事业单位法人名录库和执法人员名录库，于6月中旬邀请司法厅、事业单位代表共同参与“双随机”抽签程序，按照2%的比例随机抽取省本级核查单位23家、执法人员4名。其中，书面核查15家、实地核查8家，通过核查，共发现18家事业单位涉及未及时变更法人登记事项、年度报告书填写不准确、超出核准范围悬挂单位标牌和登记档案管理不规范等四大类问题，我局一一发出整改通知书要求限期整改。8月底，抽查单位存在的问题全部整改复核到位，抽查及整改结果在我办政务内网和“四川事业单位在线”网站上进行了公示。</w:t>
      </w:r>
    </w:p>
    <w:p>
      <w:pPr>
        <w:spacing w:line="560" w:lineRule="exact"/>
        <w:ind w:firstLine="640" w:firstLineChars="200"/>
        <w:jc w:val="left"/>
        <w:rPr>
          <w:rFonts w:eastAsia="方正仿宋简体"/>
          <w:sz w:val="32"/>
          <w:szCs w:val="32"/>
        </w:rPr>
      </w:pPr>
      <w:r>
        <w:rPr>
          <w:rFonts w:hint="eastAsia" w:eastAsia="方正仿宋简体"/>
          <w:bCs/>
          <w:sz w:val="32"/>
          <w:szCs w:val="32"/>
        </w:rPr>
        <w:t>（六）</w:t>
      </w:r>
      <w:r>
        <w:rPr>
          <w:rFonts w:eastAsia="方正仿宋简体"/>
          <w:bCs/>
          <w:sz w:val="32"/>
          <w:szCs w:val="32"/>
        </w:rPr>
        <w:t>坚持法治为先，高质量开展事业单位法定代表人培训。</w:t>
      </w:r>
      <w:r>
        <w:rPr>
          <w:rFonts w:eastAsia="方正仿宋简体"/>
          <w:sz w:val="32"/>
          <w:szCs w:val="32"/>
        </w:rPr>
        <w:t>10月下旬，在成都举办2020年度省属（中央在川）事业单位新任法定代表人暨登记档案电子化培训会，160家省属（含部分中央在川）事业单位法定代表人、业务经办人和21个市（州）事登局业务骨干近400人参会，集体奏唱《国歌》，依次学习了《中国共产党机构编制工作条例》、事业单位登记管理法规政策、事业单位登记业务操作实务，西南交通大学公共管理学院相关专家专题讲授事业单位公共管理相关知识。四川农业大学、四川音乐学院、省水产局等单位法定代表人等积极自参训，培训会相关情况被人力资源报刊载报道。</w:t>
      </w:r>
    </w:p>
    <w:p>
      <w:pPr>
        <w:spacing w:line="560" w:lineRule="exact"/>
        <w:ind w:firstLine="640" w:firstLineChars="200"/>
        <w:rPr>
          <w:rFonts w:eastAsia="方正仿宋简体"/>
          <w:sz w:val="32"/>
          <w:szCs w:val="32"/>
        </w:rPr>
      </w:pPr>
      <w:r>
        <w:rPr>
          <w:rFonts w:hint="eastAsia" w:eastAsia="方正仿宋简体"/>
          <w:bCs/>
          <w:sz w:val="32"/>
          <w:szCs w:val="32"/>
        </w:rPr>
        <w:t>（七）</w:t>
      </w:r>
      <w:r>
        <w:rPr>
          <w:rFonts w:eastAsia="方正仿宋简体"/>
          <w:bCs/>
          <w:sz w:val="32"/>
          <w:szCs w:val="32"/>
        </w:rPr>
        <w:t>坚持多管齐下，积极推进经营类事业单位注销登记。</w:t>
      </w:r>
      <w:r>
        <w:rPr>
          <w:rFonts w:eastAsia="方正仿宋简体"/>
          <w:color w:val="000000"/>
          <w:sz w:val="32"/>
          <w:szCs w:val="32"/>
        </w:rPr>
        <w:t>5月中旬按照省分类推进事业单位改革领导小组召开的</w:t>
      </w:r>
      <w:r>
        <w:rPr>
          <w:rFonts w:eastAsia="方正仿宋简体"/>
          <w:sz w:val="32"/>
          <w:szCs w:val="32"/>
        </w:rPr>
        <w:t>经营类事业单位改革工作推进会</w:t>
      </w:r>
      <w:r>
        <w:rPr>
          <w:rFonts w:eastAsia="方正仿宋简体"/>
          <w:color w:val="000000"/>
          <w:sz w:val="32"/>
          <w:szCs w:val="32"/>
        </w:rPr>
        <w:t>议精神和办主要领导要求，我局组织召开全省经营类事业单位改革注销登记培训会</w:t>
      </w:r>
      <w:r>
        <w:rPr>
          <w:rFonts w:eastAsia="方正仿宋简体"/>
          <w:sz w:val="32"/>
          <w:szCs w:val="32"/>
        </w:rPr>
        <w:t>，</w:t>
      </w:r>
      <w:r>
        <w:rPr>
          <w:rFonts w:eastAsia="方正仿宋简体"/>
          <w:color w:val="000000"/>
          <w:sz w:val="32"/>
          <w:szCs w:val="32"/>
        </w:rPr>
        <w:t>省本级近20家经营类事业单位涉及的13家主管部门和21个市（州）事登局局长全部参会。同时，</w:t>
      </w:r>
      <w:r>
        <w:rPr>
          <w:rFonts w:eastAsia="方正仿宋简体"/>
          <w:sz w:val="32"/>
          <w:szCs w:val="32"/>
        </w:rPr>
        <w:t>成立工作专班，明确任务，落实责任，实时追踪各自联系单位和地方办理进度，齐心协力稳妥推进经营类事业单位注销登记。截止年底，省本级批复撤销划出所涉及的经营类事业单位，已完成注销登记；全省15个市批复撤销的60余个经营类事业单位，已完成注销50余个，完成率87%，取得阶段性成效。</w:t>
      </w:r>
    </w:p>
    <w:p>
      <w:pPr>
        <w:spacing w:line="560" w:lineRule="exact"/>
        <w:ind w:firstLine="640" w:firstLineChars="200"/>
        <w:jc w:val="left"/>
        <w:rPr>
          <w:rFonts w:eastAsia="方正仿宋简体"/>
          <w:sz w:val="32"/>
          <w:szCs w:val="32"/>
        </w:rPr>
      </w:pPr>
      <w:r>
        <w:rPr>
          <w:rFonts w:hint="eastAsia" w:eastAsia="方正仿宋简体"/>
          <w:bCs/>
          <w:sz w:val="32"/>
          <w:szCs w:val="32"/>
        </w:rPr>
        <w:t>（八）</w:t>
      </w:r>
      <w:r>
        <w:rPr>
          <w:rFonts w:eastAsia="方正仿宋简体"/>
          <w:bCs/>
          <w:sz w:val="32"/>
          <w:szCs w:val="32"/>
        </w:rPr>
        <w:t>坚持调研实践，走基层接地气提升登记管理服务水平。一是及时研究解决地方困难和问题。</w:t>
      </w:r>
      <w:r>
        <w:rPr>
          <w:rFonts w:eastAsia="方正仿宋简体"/>
          <w:sz w:val="32"/>
          <w:szCs w:val="32"/>
        </w:rPr>
        <w:t>按照省委编办全年工作重点，深入乐山马边县、德阳中江县、绵阳三台县等地，就推进生产经营类事业单位改革注销、事业单位法人年度报告公示、环境监测机构和消防救援队伍登记赋码等工作开展调研指导。根据全办中心工作需要，抽派精干力量5人次协同有关处室认真做好了森林草原防灭火工作体制机制和党政责任落实专项整治调研，地勘行业体制机制改革调研、乡镇行政区划和村级建制调整改革“后半篇”文章专题调研等相关工作。</w:t>
      </w:r>
      <w:r>
        <w:rPr>
          <w:rFonts w:eastAsia="方正仿宋简体"/>
          <w:bCs/>
          <w:sz w:val="32"/>
          <w:szCs w:val="32"/>
        </w:rPr>
        <w:t>二是完成事业单位登记档案电子化试点。今年初，我局</w:t>
      </w:r>
      <w:r>
        <w:rPr>
          <w:rFonts w:eastAsia="方正仿宋简体"/>
          <w:sz w:val="32"/>
          <w:szCs w:val="32"/>
        </w:rPr>
        <w:t>选择省内基础条件较好的绵阳、遂宁、雅安、乐山市及所属部分县（区）先行开展</w:t>
      </w:r>
      <w:r>
        <w:rPr>
          <w:rFonts w:eastAsia="方正仿宋简体"/>
          <w:bCs/>
          <w:sz w:val="32"/>
          <w:szCs w:val="32"/>
        </w:rPr>
        <w:t>事业单位登记档案电子化</w:t>
      </w:r>
      <w:r>
        <w:rPr>
          <w:rFonts w:eastAsia="方正仿宋简体"/>
          <w:sz w:val="32"/>
          <w:szCs w:val="32"/>
        </w:rPr>
        <w:t>试点工作，指导试点地区按照“统一型号、统一规格、统一指标”的模式配备电脑、扫描仪等专用设备。6月在成都组织召开全省事业单位登记档案电子化（试点）培训会，研究部署工作措施，安排技术人员讲授相关业务知识。各试点地区在先期完成设备采购、设备调试的基础上，安排专人开展事业单位登记档案的录入、扫描、导出等有关工作，试点工作如期完成。</w:t>
      </w:r>
      <w:r>
        <w:rPr>
          <w:rFonts w:eastAsia="方正仿宋简体"/>
          <w:bCs/>
          <w:sz w:val="32"/>
          <w:szCs w:val="32"/>
        </w:rPr>
        <w:t>三是开展事业单位双法人清理工作。</w:t>
      </w:r>
      <w:r>
        <w:rPr>
          <w:rFonts w:eastAsia="方正仿宋简体"/>
          <w:sz w:val="32"/>
          <w:szCs w:val="32"/>
        </w:rPr>
        <w:t>按照国家局10月在贵州召开的片区调研会会议要求，及时开展事业单位双法人清理工作，将全省200多家双头注册单位（既在登记为事业单位法人，又在市场监管局登记为企业法人）目录分发给21个市（州），逐步引导其核销双法人注册。目前，全省已完成55家双头注册单位的注销工作。此外，今年共接待律师等社会组织和群众公开查询信息20余次。全年在省委编办内网和“四川事业单位在线”发布地方工作动态70余篇，供各地互相学习借鉴。</w:t>
      </w:r>
    </w:p>
    <w:p>
      <w:pPr>
        <w:spacing w:line="560" w:lineRule="exact"/>
        <w:ind w:firstLine="640" w:firstLineChars="200"/>
        <w:jc w:val="left"/>
        <w:rPr>
          <w:rFonts w:eastAsia="方正仿宋简体"/>
          <w:sz w:val="32"/>
          <w:szCs w:val="32"/>
        </w:rPr>
      </w:pPr>
      <w:r>
        <w:rPr>
          <w:rFonts w:hint="eastAsia" w:eastAsia="方正仿宋简体"/>
          <w:bCs/>
          <w:sz w:val="32"/>
          <w:szCs w:val="32"/>
        </w:rPr>
        <w:t>（九）</w:t>
      </w:r>
      <w:r>
        <w:rPr>
          <w:rFonts w:eastAsia="方正仿宋简体"/>
          <w:sz w:val="32"/>
          <w:szCs w:val="32"/>
        </w:rPr>
        <w:t>坚持学以致用，多渠道培养锤炼队伍。突出培训教育抓能力建设，积极派员参加全国事业单位登记管理业务培训会、片区研讨会、各类大讲堂等达50余人次，举办事业单位登记档案电子化工作培训班2期，培训干部60余人次。全年派员5人次给省级事业单位新任法定代表人、市（州）事登局业务骨干、水利厅直属事业单位讲授事业单位登记管理法规政策，培训人员共计600余人次。深入开展结对帮扶，实地走访对口联系的马边县委编办1次，了解工作情况和困难需求，积极帮助协调解决。赴印坪村探望慰问困难群众和脱贫攻坚驻村工作队员；走访慰问支部共建村高车村，宣讲省委十一届七次全会精神。</w:t>
      </w:r>
      <w:bookmarkEnd w:id="30"/>
      <w:bookmarkEnd w:id="31"/>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20"/>
          <w:rFonts w:hint="eastAsia" w:ascii="Times New Roman" w:hAnsi="Times New Roman" w:eastAsia="黑体" w:cs="Times New Roman"/>
          <w:b w:val="0"/>
          <w:color w:val="000000"/>
          <w:lang w:val="en-US" w:eastAsia="zh-CN" w:bidi="ar-SA"/>
        </w:rPr>
      </w:pPr>
      <w:r>
        <w:rPr>
          <w:rStyle w:val="20"/>
          <w:rFonts w:hint="eastAsia" w:ascii="Times New Roman" w:hAnsi="Times New Roman" w:eastAsia="黑体" w:cs="Times New Roman"/>
          <w:b w:val="0"/>
          <w:color w:val="000000"/>
          <w:lang w:val="en-US" w:eastAsia="zh-CN" w:bidi="ar-SA"/>
        </w:rPr>
        <w:t>三、机构设置情况</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Calibri"/>
          <w:kern w:val="2"/>
          <w:sz w:val="32"/>
          <w:szCs w:val="32"/>
          <w:lang w:val="en-US" w:eastAsia="zh-CN" w:bidi="ar-SA"/>
        </w:rPr>
      </w:pPr>
      <w:r>
        <w:rPr>
          <w:rFonts w:hint="eastAsia" w:ascii="Times New Roman" w:hAnsi="Times New Roman" w:eastAsia="方正仿宋简体" w:cs="Calibri"/>
          <w:kern w:val="2"/>
          <w:sz w:val="32"/>
          <w:szCs w:val="32"/>
          <w:lang w:val="en-US" w:eastAsia="zh-CN" w:bidi="ar-SA"/>
        </w:rPr>
        <w:t>四川省事业单位</w:t>
      </w:r>
      <w:r>
        <w:rPr>
          <w:rFonts w:hint="eastAsia" w:ascii="Times New Roman" w:eastAsia="方正仿宋简体" w:cs="Calibri"/>
          <w:kern w:val="2"/>
          <w:sz w:val="32"/>
          <w:szCs w:val="32"/>
          <w:lang w:val="en-US" w:eastAsia="zh-CN" w:bidi="ar-SA"/>
        </w:rPr>
        <w:t>登记</w:t>
      </w:r>
      <w:r>
        <w:rPr>
          <w:rFonts w:hint="eastAsia" w:ascii="Times New Roman" w:hAnsi="Times New Roman" w:eastAsia="方正仿宋简体" w:cs="Calibri"/>
          <w:kern w:val="2"/>
          <w:sz w:val="32"/>
          <w:szCs w:val="32"/>
          <w:lang w:val="en-US" w:eastAsia="zh-CN" w:bidi="ar-SA"/>
        </w:rPr>
        <w:t>管理局为中共四川省委机构编制委员会</w:t>
      </w:r>
      <w:r>
        <w:rPr>
          <w:rFonts w:hint="eastAsia" w:ascii="Times New Roman" w:eastAsia="方正仿宋简体" w:cs="Calibri"/>
          <w:kern w:val="2"/>
          <w:sz w:val="32"/>
          <w:szCs w:val="32"/>
          <w:lang w:val="en-US" w:eastAsia="zh-CN" w:bidi="ar-SA"/>
        </w:rPr>
        <w:t>办公室</w:t>
      </w:r>
      <w:r>
        <w:rPr>
          <w:rFonts w:hint="eastAsia" w:ascii="Times New Roman" w:hAnsi="Times New Roman" w:eastAsia="方正仿宋简体" w:cs="Calibri"/>
          <w:kern w:val="2"/>
          <w:sz w:val="32"/>
          <w:szCs w:val="32"/>
          <w:lang w:val="en-US" w:eastAsia="zh-CN" w:bidi="ar-SA"/>
        </w:rPr>
        <w:t>的下属二级单位，无内设机构。</w:t>
      </w:r>
    </w:p>
    <w:p>
      <w:pPr>
        <w:pStyle w:val="3"/>
        <w:ind w:right="440"/>
        <w:jc w:val="center"/>
        <w:rPr>
          <w:rStyle w:val="19"/>
          <w:rFonts w:eastAsia="方正小标宋_GBK"/>
          <w:b w:val="0"/>
          <w:bCs w:val="0"/>
          <w:color w:val="000000"/>
        </w:rPr>
      </w:pPr>
      <w:bookmarkStart w:id="32" w:name="_Toc16154361"/>
      <w:bookmarkStart w:id="33" w:name="_Toc15377204"/>
      <w:r>
        <w:rPr>
          <w:rFonts w:eastAsia="方正小标宋_GBK"/>
          <w:b w:val="0"/>
          <w:color w:val="000000"/>
        </w:rPr>
        <w:t xml:space="preserve">    </w:t>
      </w:r>
      <w:bookmarkStart w:id="34" w:name="_Toc80806105"/>
      <w:bookmarkStart w:id="35" w:name="_Toc80805972"/>
      <w:bookmarkStart w:id="36" w:name="_Toc202_WPSOffice_Level1"/>
      <w:bookmarkStart w:id="37" w:name="_Toc81232247"/>
      <w:r>
        <w:rPr>
          <w:rFonts w:eastAsia="方正小标宋_GBK"/>
          <w:b w:val="0"/>
          <w:color w:val="000000"/>
        </w:rPr>
        <w:t xml:space="preserve">第二部分 </w:t>
      </w:r>
      <w:r>
        <w:rPr>
          <w:rStyle w:val="19"/>
          <w:rFonts w:eastAsia="方正小标宋_GBK"/>
          <w:b w:val="0"/>
          <w:bCs w:val="0"/>
          <w:color w:val="000000"/>
        </w:rPr>
        <w:t>20</w:t>
      </w:r>
      <w:r>
        <w:rPr>
          <w:rStyle w:val="19"/>
          <w:rFonts w:hint="eastAsia" w:eastAsia="方正小标宋_GBK"/>
          <w:b w:val="0"/>
          <w:bCs w:val="0"/>
          <w:color w:val="000000"/>
        </w:rPr>
        <w:t>20</w:t>
      </w:r>
      <w:r>
        <w:rPr>
          <w:rStyle w:val="19"/>
          <w:rFonts w:eastAsia="方正小标宋_GBK"/>
          <w:b w:val="0"/>
          <w:bCs w:val="0"/>
          <w:color w:val="000000"/>
        </w:rPr>
        <w:t>年度</w:t>
      </w:r>
      <w:r>
        <w:rPr>
          <w:rStyle w:val="19"/>
          <w:rFonts w:hint="eastAsia" w:eastAsia="方正小标宋_GBK"/>
          <w:b w:val="0"/>
          <w:bCs w:val="0"/>
          <w:color w:val="000000"/>
        </w:rPr>
        <w:t>单位</w:t>
      </w:r>
      <w:r>
        <w:rPr>
          <w:rStyle w:val="19"/>
          <w:rFonts w:eastAsia="方正小标宋_GBK"/>
          <w:b w:val="0"/>
          <w:bCs w:val="0"/>
          <w:color w:val="000000"/>
        </w:rPr>
        <w:t>决算情况说明</w:t>
      </w:r>
      <w:bookmarkEnd w:id="32"/>
      <w:bookmarkEnd w:id="33"/>
      <w:bookmarkEnd w:id="34"/>
      <w:bookmarkEnd w:id="35"/>
      <w:bookmarkEnd w:id="36"/>
      <w:bookmarkEnd w:id="37"/>
    </w:p>
    <w:p>
      <w:pPr>
        <w:pStyle w:val="31"/>
        <w:numPr>
          <w:ilvl w:val="0"/>
          <w:numId w:val="1"/>
        </w:numPr>
        <w:spacing w:line="600" w:lineRule="exact"/>
        <w:ind w:firstLineChars="0"/>
        <w:outlineLvl w:val="1"/>
        <w:rPr>
          <w:rStyle w:val="20"/>
          <w:rFonts w:ascii="Times New Roman" w:hAnsi="Times New Roman" w:eastAsia="黑体"/>
          <w:b w:val="0"/>
          <w:color w:val="000000"/>
        </w:rPr>
      </w:pPr>
      <w:bookmarkStart w:id="38" w:name="_Toc28438_WPSOffice_Level2"/>
      <w:bookmarkStart w:id="39" w:name="_Toc16154362"/>
      <w:bookmarkStart w:id="40" w:name="_Toc81232248"/>
      <w:bookmarkStart w:id="41" w:name="_Toc15377205"/>
      <w:bookmarkStart w:id="42" w:name="_Toc80806106"/>
      <w:bookmarkStart w:id="43" w:name="_Toc80805973"/>
      <w:r>
        <w:rPr>
          <w:rFonts w:eastAsia="黑体"/>
          <w:color w:val="000000"/>
          <w:sz w:val="32"/>
          <w:szCs w:val="32"/>
        </w:rPr>
        <w:t>收</w:t>
      </w:r>
      <w:r>
        <w:rPr>
          <w:rStyle w:val="20"/>
          <w:rFonts w:ascii="Times New Roman" w:hAnsi="Times New Roman" w:eastAsia="黑体"/>
          <w:b w:val="0"/>
          <w:color w:val="000000"/>
        </w:rPr>
        <w:t>入支出决算总体情况说明</w:t>
      </w:r>
      <w:bookmarkEnd w:id="38"/>
      <w:bookmarkEnd w:id="39"/>
      <w:bookmarkEnd w:id="40"/>
      <w:bookmarkEnd w:id="41"/>
      <w:bookmarkEnd w:id="42"/>
      <w:bookmarkEnd w:id="43"/>
    </w:p>
    <w:p>
      <w:pPr>
        <w:spacing w:line="600" w:lineRule="exact"/>
        <w:ind w:firstLine="640" w:firstLineChars="200"/>
        <w:rPr>
          <w:rFonts w:eastAsia="方正仿宋简体" w:cs="Times New Roman"/>
          <w:sz w:val="32"/>
          <w:szCs w:val="32"/>
        </w:rPr>
      </w:pPr>
      <w:r>
        <w:rPr>
          <w:rFonts w:eastAsia="方正仿宋简体" w:cs="Times New Roman"/>
          <w:sz w:val="32"/>
          <w:szCs w:val="32"/>
        </w:rPr>
        <w:t>20</w:t>
      </w:r>
      <w:r>
        <w:rPr>
          <w:rFonts w:hint="eastAsia" w:eastAsia="方正仿宋简体" w:cs="Times New Roman"/>
          <w:sz w:val="32"/>
          <w:szCs w:val="32"/>
        </w:rPr>
        <w:t>20</w:t>
      </w:r>
      <w:r>
        <w:rPr>
          <w:rFonts w:eastAsia="方正仿宋简体" w:cs="Times New Roman"/>
          <w:sz w:val="32"/>
          <w:szCs w:val="32"/>
        </w:rPr>
        <w:t>年度收</w:t>
      </w:r>
      <w:r>
        <w:rPr>
          <w:rFonts w:hint="eastAsia" w:eastAsia="方正仿宋简体" w:cs="Times New Roman"/>
          <w:sz w:val="32"/>
          <w:szCs w:val="32"/>
        </w:rPr>
        <w:t>、</w:t>
      </w:r>
      <w:r>
        <w:rPr>
          <w:rFonts w:eastAsia="方正仿宋简体" w:cs="Times New Roman"/>
          <w:sz w:val="32"/>
          <w:szCs w:val="32"/>
        </w:rPr>
        <w:t>支总计</w:t>
      </w:r>
      <w:r>
        <w:rPr>
          <w:rFonts w:hint="eastAsia" w:eastAsia="方正仿宋简体" w:cs="Times New Roman"/>
          <w:sz w:val="32"/>
          <w:szCs w:val="32"/>
        </w:rPr>
        <w:t>185.13</w:t>
      </w:r>
      <w:r>
        <w:rPr>
          <w:rFonts w:eastAsia="方正仿宋简体" w:cs="Times New Roman"/>
          <w:sz w:val="32"/>
          <w:szCs w:val="32"/>
        </w:rPr>
        <w:t>万元。与201</w:t>
      </w:r>
      <w:r>
        <w:rPr>
          <w:rFonts w:hint="eastAsia" w:eastAsia="方正仿宋简体" w:cs="Times New Roman"/>
          <w:sz w:val="32"/>
          <w:szCs w:val="32"/>
        </w:rPr>
        <w:t>9</w:t>
      </w:r>
      <w:r>
        <w:rPr>
          <w:rFonts w:eastAsia="方正仿宋简体" w:cs="Times New Roman"/>
          <w:sz w:val="32"/>
          <w:szCs w:val="32"/>
        </w:rPr>
        <w:t>年相比，收</w:t>
      </w:r>
      <w:r>
        <w:rPr>
          <w:rFonts w:hint="eastAsia" w:eastAsia="方正仿宋简体" w:cs="Times New Roman"/>
          <w:sz w:val="32"/>
          <w:szCs w:val="32"/>
        </w:rPr>
        <w:t>、</w:t>
      </w:r>
      <w:r>
        <w:rPr>
          <w:rFonts w:eastAsia="方正仿宋简体" w:cs="Times New Roman"/>
          <w:sz w:val="32"/>
          <w:szCs w:val="32"/>
        </w:rPr>
        <w:t>支总计各</w:t>
      </w:r>
      <w:r>
        <w:rPr>
          <w:rFonts w:hint="eastAsia" w:eastAsia="方正仿宋简体" w:cs="Times New Roman"/>
          <w:sz w:val="32"/>
          <w:szCs w:val="32"/>
        </w:rPr>
        <w:t>增加21.18万元，增长12.91%</w:t>
      </w:r>
      <w:bookmarkStart w:id="44" w:name="_Toc2374_WPSOffice_Level3"/>
      <w:bookmarkStart w:id="45" w:name="_Toc28427_WPSOffice_Level3"/>
      <w:bookmarkStart w:id="46" w:name="_Toc17345_WPSOffice_Level3"/>
      <w:bookmarkStart w:id="47" w:name="_Toc2344_WPSOffice_Level3"/>
      <w:bookmarkStart w:id="48" w:name="_Toc1942_WPSOffice_Level3"/>
      <w:bookmarkStart w:id="49" w:name="_Toc26252_WPSOffice_Level3"/>
      <w:r>
        <w:rPr>
          <w:rFonts w:hint="eastAsia" w:eastAsia="方正仿宋简体" w:cs="Times New Roman"/>
          <w:sz w:val="32"/>
          <w:szCs w:val="32"/>
        </w:rPr>
        <w:t>。</w:t>
      </w:r>
      <w:r>
        <w:rPr>
          <w:rFonts w:eastAsia="方正仿宋简体" w:cs="Times New Roman"/>
          <w:sz w:val="32"/>
          <w:szCs w:val="32"/>
        </w:rPr>
        <w:t>主要变动原因是增加了人员经费等。</w:t>
      </w:r>
    </w:p>
    <w:p>
      <w:pPr>
        <w:snapToGrid w:val="0"/>
        <w:spacing w:line="560" w:lineRule="exact"/>
        <w:ind w:firstLine="640" w:firstLineChars="200"/>
        <w:rPr>
          <w:rFonts w:hint="eastAsia" w:eastAsia="楷体" w:cs="Times New Roman"/>
          <w:color w:val="000000"/>
          <w:sz w:val="32"/>
          <w:szCs w:val="32"/>
        </w:rPr>
      </w:pPr>
      <w:r>
        <w:rPr>
          <w:rFonts w:hint="eastAsia" w:eastAsia="楷体" w:cs="Times New Roman"/>
          <w:color w:val="000000"/>
          <w:sz w:val="32"/>
          <w:szCs w:val="32"/>
        </w:rPr>
        <w:t xml:space="preserve">        （图1：</w:t>
      </w:r>
      <w:r>
        <w:rPr>
          <w:rFonts w:eastAsia="楷体" w:cs="Times New Roman"/>
          <w:color w:val="000000"/>
          <w:sz w:val="32"/>
          <w:szCs w:val="32"/>
        </w:rPr>
        <w:t>收、支决算总计变动情况图</w:t>
      </w:r>
      <w:bookmarkEnd w:id="44"/>
      <w:bookmarkEnd w:id="45"/>
      <w:bookmarkEnd w:id="46"/>
      <w:bookmarkEnd w:id="47"/>
      <w:bookmarkEnd w:id="48"/>
      <w:bookmarkEnd w:id="49"/>
      <w:r>
        <w:rPr>
          <w:rFonts w:hint="eastAsia" w:eastAsia="楷体" w:cs="Times New Roman"/>
          <w:color w:val="000000"/>
          <w:sz w:val="32"/>
          <w:szCs w:val="32"/>
        </w:rPr>
        <w:t>）</w:t>
      </w:r>
    </w:p>
    <w:p>
      <w:pPr>
        <w:pStyle w:val="2"/>
        <w:spacing w:before="173"/>
        <w:rPr>
          <w:rFonts w:hint="eastAsia"/>
        </w:rPr>
      </w:pPr>
      <w:r>
        <w:rPr>
          <w:rFonts w:eastAsia="仿宋"/>
          <w:color w:val="000000"/>
          <w:sz w:val="32"/>
          <w:szCs w:val="32"/>
          <w:lang w:val="en-US" w:eastAsia="zh-CN"/>
        </w:rPr>
        <w:pict>
          <v:shape id="_x0000_s1030" o:spid="_x0000_s1030" o:spt="75" type="#_x0000_t75" style="position:absolute;left:0pt;margin-left:19.3pt;margin-top:23.8pt;height:175.55pt;width:419.7pt;z-index:251661312;mso-width-relative:page;mso-height-relative:page;" o:ole="t" filled="f" o:preferrelative="t" stroked="t" coordsize="21600,21600">
            <v:path/>
            <v:fill on="f" focussize="0,0"/>
            <v:stroke color="#C00000" joinstyle="miter"/>
            <v:imagedata r:id="rId7" o:title=""/>
            <o:lock v:ext="edit" aspectratio="t"/>
          </v:shape>
          <o:OLEObject Type="Embed" ProgID="MSGraph.Chart.8" ShapeID="_x0000_s1030" DrawAspect="Content" ObjectID="_1468075725" r:id="rId6">
            <o:LockedField>false</o:LockedField>
          </o:OLEObject>
        </w:pict>
      </w:r>
    </w:p>
    <w:p>
      <w:pPr>
        <w:pStyle w:val="2"/>
        <w:spacing w:before="173"/>
        <w:rPr>
          <w:rFonts w:hint="eastAsia"/>
        </w:rPr>
      </w:pPr>
    </w:p>
    <w:p>
      <w:pPr>
        <w:snapToGrid w:val="0"/>
        <w:spacing w:line="560" w:lineRule="exact"/>
        <w:ind w:firstLine="640" w:firstLineChars="200"/>
        <w:rPr>
          <w:rFonts w:hint="eastAsia" w:eastAsia="楷体" w:cs="Times New Roman"/>
          <w:color w:val="000000"/>
          <w:sz w:val="32"/>
          <w:szCs w:val="32"/>
        </w:rPr>
      </w:pPr>
    </w:p>
    <w:p>
      <w:pPr>
        <w:snapToGrid w:val="0"/>
        <w:spacing w:line="560" w:lineRule="exact"/>
        <w:ind w:firstLine="640" w:firstLineChars="200"/>
        <w:rPr>
          <w:rFonts w:eastAsia="楷体" w:cs="Times New Roman"/>
          <w:color w:val="000000"/>
          <w:sz w:val="32"/>
          <w:szCs w:val="32"/>
        </w:rPr>
      </w:pPr>
    </w:p>
    <w:p>
      <w:pPr>
        <w:tabs>
          <w:tab w:val="center" w:pos="6759"/>
          <w:tab w:val="left" w:pos="10529"/>
        </w:tabs>
        <w:spacing w:line="578" w:lineRule="exact"/>
        <w:ind w:firstLine="640" w:firstLineChars="200"/>
        <w:jc w:val="center"/>
        <w:rPr>
          <w:rFonts w:eastAsia="楷体" w:cs="Times New Roman"/>
          <w:color w:val="000000"/>
          <w:sz w:val="32"/>
          <w:szCs w:val="32"/>
        </w:rPr>
      </w:pPr>
    </w:p>
    <w:p>
      <w:pPr>
        <w:tabs>
          <w:tab w:val="center" w:pos="6759"/>
          <w:tab w:val="left" w:pos="10529"/>
        </w:tabs>
        <w:spacing w:line="578" w:lineRule="exact"/>
        <w:ind w:firstLine="640" w:firstLineChars="200"/>
        <w:jc w:val="center"/>
        <w:rPr>
          <w:rFonts w:eastAsia="楷体" w:cs="Times New Roman"/>
          <w:color w:val="000000"/>
          <w:sz w:val="32"/>
          <w:szCs w:val="32"/>
        </w:rPr>
      </w:pPr>
    </w:p>
    <w:p>
      <w:pPr>
        <w:tabs>
          <w:tab w:val="center" w:pos="6759"/>
          <w:tab w:val="left" w:pos="10529"/>
        </w:tabs>
        <w:spacing w:line="578" w:lineRule="exact"/>
        <w:ind w:firstLine="640" w:firstLineChars="200"/>
        <w:jc w:val="center"/>
        <w:rPr>
          <w:rFonts w:eastAsia="楷体" w:cs="Times New Roman"/>
          <w:color w:val="000000"/>
          <w:sz w:val="32"/>
          <w:szCs w:val="32"/>
        </w:rPr>
      </w:pPr>
    </w:p>
    <w:p>
      <w:pPr>
        <w:pStyle w:val="31"/>
        <w:numPr>
          <w:ilvl w:val="0"/>
          <w:numId w:val="1"/>
        </w:numPr>
        <w:spacing w:line="600" w:lineRule="exact"/>
        <w:ind w:firstLineChars="0"/>
        <w:outlineLvl w:val="1"/>
        <w:rPr>
          <w:rStyle w:val="20"/>
          <w:rFonts w:ascii="Times New Roman" w:hAnsi="Times New Roman" w:eastAsia="黑体"/>
          <w:b w:val="0"/>
          <w:color w:val="000000"/>
        </w:rPr>
      </w:pPr>
      <w:bookmarkStart w:id="50" w:name="_Toc80806107"/>
      <w:bookmarkStart w:id="51" w:name="_Toc16154363"/>
      <w:bookmarkStart w:id="52" w:name="_Toc80805974"/>
      <w:bookmarkStart w:id="53" w:name="_Toc18243_WPSOffice_Level2"/>
      <w:bookmarkStart w:id="54" w:name="_Toc81232249"/>
      <w:bookmarkStart w:id="55" w:name="_Toc15377206"/>
      <w:r>
        <w:rPr>
          <w:rFonts w:eastAsia="黑体"/>
          <w:color w:val="000000"/>
          <w:sz w:val="32"/>
          <w:szCs w:val="32"/>
        </w:rPr>
        <w:t>收</w:t>
      </w:r>
      <w:r>
        <w:rPr>
          <w:rStyle w:val="20"/>
          <w:rFonts w:ascii="Times New Roman" w:hAnsi="Times New Roman" w:eastAsia="黑体"/>
          <w:b w:val="0"/>
          <w:color w:val="000000"/>
        </w:rPr>
        <w:t>入决算情况说明</w:t>
      </w:r>
      <w:bookmarkEnd w:id="50"/>
      <w:bookmarkEnd w:id="51"/>
      <w:bookmarkEnd w:id="52"/>
      <w:bookmarkEnd w:id="53"/>
      <w:bookmarkEnd w:id="54"/>
      <w:bookmarkEnd w:id="55"/>
    </w:p>
    <w:p>
      <w:pPr>
        <w:spacing w:line="600" w:lineRule="exact"/>
        <w:ind w:firstLine="640" w:firstLineChars="200"/>
        <w:rPr>
          <w:rFonts w:hint="eastAsia" w:eastAsia="方正仿宋简体" w:cs="Times New Roman"/>
          <w:sz w:val="32"/>
          <w:szCs w:val="32"/>
        </w:rPr>
      </w:pPr>
      <w:r>
        <w:rPr>
          <w:rFonts w:eastAsia="方正仿宋简体" w:cs="Times New Roman"/>
          <w:sz w:val="32"/>
          <w:szCs w:val="32"/>
        </w:rPr>
        <w:t>20</w:t>
      </w:r>
      <w:r>
        <w:rPr>
          <w:rFonts w:hint="eastAsia" w:eastAsia="方正仿宋简体" w:cs="Times New Roman"/>
          <w:sz w:val="32"/>
          <w:szCs w:val="32"/>
        </w:rPr>
        <w:t>20</w:t>
      </w:r>
      <w:r>
        <w:rPr>
          <w:rFonts w:eastAsia="方正仿宋简体" w:cs="Times New Roman"/>
          <w:sz w:val="32"/>
          <w:szCs w:val="32"/>
        </w:rPr>
        <w:t>年本年收入合计</w:t>
      </w:r>
      <w:r>
        <w:rPr>
          <w:rFonts w:hint="eastAsia" w:eastAsia="方正仿宋简体" w:cs="Times New Roman"/>
          <w:sz w:val="32"/>
          <w:szCs w:val="32"/>
        </w:rPr>
        <w:t>185.13</w:t>
      </w:r>
      <w:r>
        <w:rPr>
          <w:rFonts w:eastAsia="方正仿宋简体" w:cs="Times New Roman"/>
          <w:sz w:val="32"/>
          <w:szCs w:val="32"/>
        </w:rPr>
        <w:t>万元，其中：一般公共预算财政拨款收入</w:t>
      </w:r>
      <w:r>
        <w:rPr>
          <w:rFonts w:hint="eastAsia" w:eastAsia="方正仿宋简体" w:cs="Times New Roman"/>
          <w:sz w:val="32"/>
          <w:szCs w:val="32"/>
        </w:rPr>
        <w:t>185.13</w:t>
      </w:r>
      <w:r>
        <w:rPr>
          <w:rFonts w:eastAsia="方正仿宋简体" w:cs="Times New Roman"/>
          <w:sz w:val="32"/>
          <w:szCs w:val="32"/>
        </w:rPr>
        <w:t>万元，占</w:t>
      </w:r>
      <w:r>
        <w:rPr>
          <w:rFonts w:hint="eastAsia" w:eastAsia="方正仿宋简体" w:cs="Times New Roman"/>
          <w:sz w:val="32"/>
          <w:szCs w:val="32"/>
        </w:rPr>
        <w:t>100</w:t>
      </w:r>
      <w:r>
        <w:rPr>
          <w:rFonts w:eastAsia="方正仿宋简体" w:cs="Times New Roman"/>
          <w:sz w:val="32"/>
          <w:szCs w:val="32"/>
        </w:rPr>
        <w:t>%</w:t>
      </w:r>
      <w:r>
        <w:rPr>
          <w:rFonts w:hint="eastAsia" w:eastAsia="方正仿宋简体" w:cs="Times New Roman"/>
          <w:sz w:val="32"/>
          <w:szCs w:val="32"/>
        </w:rPr>
        <w:t>。</w:t>
      </w:r>
    </w:p>
    <w:p>
      <w:pPr>
        <w:spacing w:line="600" w:lineRule="exact"/>
        <w:ind w:firstLine="640" w:firstLineChars="200"/>
        <w:jc w:val="center"/>
        <w:rPr>
          <w:rFonts w:hint="eastAsia" w:eastAsia="楷体" w:cs="Times New Roman"/>
          <w:color w:val="000000"/>
          <w:sz w:val="32"/>
          <w:szCs w:val="32"/>
        </w:rPr>
      </w:pPr>
      <w:bookmarkStart w:id="56" w:name="_Toc29365_WPSOffice_Level3"/>
      <w:bookmarkStart w:id="57" w:name="_Toc30318_WPSOffice_Level3"/>
      <w:bookmarkStart w:id="58" w:name="_Toc15015_WPSOffice_Level3"/>
      <w:bookmarkStart w:id="59" w:name="_Toc10530_WPSOffice_Level3"/>
      <w:r>
        <w:rPr>
          <w:rFonts w:eastAsia="楷体" w:cs="Times New Roman"/>
          <w:color w:val="000000"/>
          <w:sz w:val="32"/>
          <w:szCs w:val="32"/>
        </w:rPr>
        <w:t>（</w:t>
      </w:r>
      <w:r>
        <w:rPr>
          <w:rFonts w:hint="eastAsia" w:eastAsia="楷体" w:cs="Times New Roman"/>
          <w:color w:val="000000"/>
          <w:sz w:val="32"/>
          <w:szCs w:val="32"/>
        </w:rPr>
        <w:t>图2：</w:t>
      </w:r>
      <w:r>
        <w:rPr>
          <w:rFonts w:eastAsia="楷体" w:cs="Times New Roman"/>
          <w:color w:val="000000"/>
          <w:sz w:val="32"/>
          <w:szCs w:val="32"/>
        </w:rPr>
        <w:t>收入决算结构图 ）</w:t>
      </w:r>
      <w:bookmarkEnd w:id="56"/>
      <w:bookmarkEnd w:id="57"/>
      <w:bookmarkEnd w:id="58"/>
      <w:bookmarkEnd w:id="59"/>
    </w:p>
    <w:p>
      <w:pPr>
        <w:pStyle w:val="2"/>
        <w:spacing w:before="173"/>
      </w:pPr>
      <w:r>
        <w:rPr>
          <w:rFonts w:eastAsia="仿宋"/>
          <w:color w:val="000000"/>
          <w:sz w:val="32"/>
          <w:szCs w:val="32"/>
          <w:lang w:val="en-US" w:eastAsia="zh-CN"/>
        </w:rPr>
        <w:pict>
          <v:shape id="_x0000_s1029" o:spid="_x0000_s1029" o:spt="75" type="#_x0000_t75" style="position:absolute;left:0pt;margin-left:20.15pt;margin-top:10.85pt;height:178.35pt;width:438.05pt;z-index:251659264;mso-width-relative:page;mso-height-relative:page;" o:ole="t" filled="t" o:preferrelative="t" stroked="t" coordsize="21600,21600">
            <v:path/>
            <v:fill type="gradient" on="t" color2="fill darken(118)" focus="100%" focussize="0,0" method="linear sigma" rotate="t"/>
            <v:stroke color="#00B050" joinstyle="miter"/>
            <v:imagedata r:id="rId9" o:title=""/>
            <o:lock v:ext="edit" aspectratio="t"/>
          </v:shape>
          <o:OLEObject Type="Embed" ProgID="MSGraph.Chart.8" ShapeID="_x0000_s1029" DrawAspect="Content" ObjectID="_1468075726" r:id="rId8">
            <o:LockedField>false</o:LockedField>
          </o:OLEObject>
        </w:pict>
      </w:r>
    </w:p>
    <w:p>
      <w:pPr>
        <w:spacing w:line="600" w:lineRule="exact"/>
        <w:ind w:firstLine="640" w:firstLineChars="200"/>
        <w:jc w:val="center"/>
        <w:rPr>
          <w:rFonts w:eastAsia="楷体" w:cs="Times New Roman"/>
          <w:color w:val="000000"/>
          <w:sz w:val="32"/>
          <w:szCs w:val="32"/>
        </w:rPr>
      </w:pPr>
    </w:p>
    <w:p>
      <w:pPr>
        <w:spacing w:line="600" w:lineRule="exact"/>
        <w:ind w:firstLine="640" w:firstLineChars="200"/>
        <w:jc w:val="center"/>
        <w:rPr>
          <w:rFonts w:eastAsia="楷体" w:cs="Times New Roman"/>
          <w:color w:val="000000"/>
          <w:sz w:val="32"/>
          <w:szCs w:val="32"/>
        </w:rPr>
      </w:pPr>
    </w:p>
    <w:p>
      <w:pPr>
        <w:spacing w:line="600" w:lineRule="exact"/>
        <w:ind w:firstLine="640" w:firstLineChars="200"/>
        <w:jc w:val="center"/>
        <w:rPr>
          <w:rFonts w:eastAsia="楷体" w:cs="Times New Roman"/>
          <w:color w:val="000000"/>
          <w:sz w:val="32"/>
          <w:szCs w:val="32"/>
        </w:rPr>
      </w:pPr>
    </w:p>
    <w:p>
      <w:pPr>
        <w:spacing w:line="600" w:lineRule="exact"/>
        <w:ind w:firstLine="640" w:firstLineChars="200"/>
        <w:rPr>
          <w:rFonts w:eastAsia="楷体" w:cs="Times New Roman"/>
          <w:color w:val="000000"/>
          <w:sz w:val="32"/>
          <w:szCs w:val="32"/>
        </w:rPr>
      </w:pPr>
    </w:p>
    <w:p>
      <w:pPr>
        <w:spacing w:line="600" w:lineRule="exact"/>
        <w:ind w:firstLine="640" w:firstLineChars="200"/>
        <w:rPr>
          <w:rFonts w:eastAsia="楷体" w:cs="Times New Roman"/>
          <w:color w:val="000000"/>
          <w:sz w:val="32"/>
          <w:szCs w:val="32"/>
        </w:rPr>
      </w:pPr>
    </w:p>
    <w:p>
      <w:pPr>
        <w:pStyle w:val="31"/>
        <w:numPr>
          <w:ilvl w:val="0"/>
          <w:numId w:val="1"/>
        </w:numPr>
        <w:spacing w:line="600" w:lineRule="exact"/>
        <w:ind w:firstLineChars="0"/>
        <w:outlineLvl w:val="1"/>
        <w:rPr>
          <w:rStyle w:val="20"/>
          <w:rFonts w:ascii="Times New Roman" w:hAnsi="Times New Roman" w:eastAsia="黑体"/>
          <w:b w:val="0"/>
          <w:color w:val="000000"/>
        </w:rPr>
      </w:pPr>
      <w:bookmarkStart w:id="60" w:name="_Toc15377207"/>
      <w:bookmarkStart w:id="61" w:name="_Toc80806108"/>
      <w:bookmarkStart w:id="62" w:name="_Toc16677_WPSOffice_Level2"/>
      <w:bookmarkStart w:id="63" w:name="_Toc80805975"/>
      <w:bookmarkStart w:id="64" w:name="_Toc16154364"/>
      <w:bookmarkStart w:id="65" w:name="_Toc81232250"/>
      <w:r>
        <w:rPr>
          <w:rFonts w:eastAsia="黑体"/>
          <w:color w:val="000000"/>
          <w:sz w:val="32"/>
          <w:szCs w:val="32"/>
        </w:rPr>
        <w:t>支</w:t>
      </w:r>
      <w:r>
        <w:rPr>
          <w:rStyle w:val="20"/>
          <w:rFonts w:ascii="Times New Roman" w:hAnsi="Times New Roman" w:eastAsia="黑体"/>
          <w:b w:val="0"/>
          <w:color w:val="000000"/>
        </w:rPr>
        <w:t>出决算情况说明</w:t>
      </w:r>
      <w:bookmarkEnd w:id="60"/>
      <w:bookmarkEnd w:id="61"/>
      <w:bookmarkEnd w:id="62"/>
      <w:bookmarkEnd w:id="63"/>
      <w:bookmarkEnd w:id="64"/>
      <w:bookmarkEnd w:id="65"/>
    </w:p>
    <w:p>
      <w:pPr>
        <w:spacing w:line="600" w:lineRule="exact"/>
        <w:ind w:firstLine="640" w:firstLineChars="200"/>
        <w:rPr>
          <w:rFonts w:hint="eastAsia" w:eastAsia="方正仿宋简体" w:cs="Times New Roman"/>
          <w:sz w:val="32"/>
          <w:szCs w:val="32"/>
        </w:rPr>
      </w:pPr>
      <w:r>
        <w:rPr>
          <w:rFonts w:eastAsia="方正仿宋简体" w:cs="Times New Roman"/>
          <w:sz w:val="32"/>
          <w:szCs w:val="32"/>
        </w:rPr>
        <w:t>20</w:t>
      </w:r>
      <w:r>
        <w:rPr>
          <w:rFonts w:hint="eastAsia" w:eastAsia="方正仿宋简体" w:cs="Times New Roman"/>
          <w:sz w:val="32"/>
          <w:szCs w:val="32"/>
        </w:rPr>
        <w:t>20</w:t>
      </w:r>
      <w:r>
        <w:rPr>
          <w:rFonts w:eastAsia="方正仿宋简体" w:cs="Times New Roman"/>
          <w:sz w:val="32"/>
          <w:szCs w:val="32"/>
        </w:rPr>
        <w:t>年本年支出合计1</w:t>
      </w:r>
      <w:r>
        <w:rPr>
          <w:rFonts w:hint="eastAsia" w:eastAsia="方正仿宋简体" w:cs="Times New Roman"/>
          <w:sz w:val="32"/>
          <w:szCs w:val="32"/>
        </w:rPr>
        <w:t>85.13</w:t>
      </w:r>
      <w:r>
        <w:rPr>
          <w:rFonts w:eastAsia="方正仿宋简体" w:cs="Times New Roman"/>
          <w:sz w:val="32"/>
          <w:szCs w:val="32"/>
        </w:rPr>
        <w:t>万元，其中：基本支出</w:t>
      </w:r>
      <w:r>
        <w:rPr>
          <w:rFonts w:hint="eastAsia" w:eastAsia="方正仿宋简体" w:cs="Times New Roman"/>
          <w:sz w:val="32"/>
          <w:szCs w:val="32"/>
        </w:rPr>
        <w:t>156.00</w:t>
      </w:r>
      <w:r>
        <w:rPr>
          <w:rFonts w:eastAsia="方正仿宋简体" w:cs="Times New Roman"/>
          <w:sz w:val="32"/>
          <w:szCs w:val="32"/>
        </w:rPr>
        <w:t>万元，占8</w:t>
      </w:r>
      <w:r>
        <w:rPr>
          <w:rFonts w:hint="eastAsia" w:eastAsia="方正仿宋简体" w:cs="Times New Roman"/>
          <w:sz w:val="32"/>
          <w:szCs w:val="32"/>
        </w:rPr>
        <w:t>4.26</w:t>
      </w:r>
      <w:r>
        <w:rPr>
          <w:rFonts w:eastAsia="方正仿宋简体" w:cs="Times New Roman"/>
          <w:sz w:val="32"/>
          <w:szCs w:val="32"/>
        </w:rPr>
        <w:t>%；项目支出</w:t>
      </w:r>
      <w:r>
        <w:rPr>
          <w:rFonts w:hint="eastAsia" w:eastAsia="方正仿宋简体" w:cs="Times New Roman"/>
          <w:sz w:val="32"/>
          <w:szCs w:val="32"/>
        </w:rPr>
        <w:t>29.13</w:t>
      </w:r>
      <w:r>
        <w:rPr>
          <w:rFonts w:eastAsia="方正仿宋简体" w:cs="Times New Roman"/>
          <w:sz w:val="32"/>
          <w:szCs w:val="32"/>
        </w:rPr>
        <w:t>万元，占1</w:t>
      </w:r>
      <w:r>
        <w:rPr>
          <w:rFonts w:hint="eastAsia" w:eastAsia="方正仿宋简体" w:cs="Times New Roman"/>
          <w:sz w:val="32"/>
          <w:szCs w:val="32"/>
        </w:rPr>
        <w:t>5.74</w:t>
      </w:r>
      <w:r>
        <w:rPr>
          <w:rFonts w:eastAsia="方正仿宋简体" w:cs="Times New Roman"/>
          <w:sz w:val="32"/>
          <w:szCs w:val="32"/>
        </w:rPr>
        <w:t>%。</w:t>
      </w:r>
      <w:bookmarkStart w:id="66" w:name="_Toc11993_WPSOffice_Level3"/>
      <w:bookmarkStart w:id="67" w:name="_Toc8842_WPSOffice_Level3"/>
      <w:bookmarkStart w:id="68" w:name="_Toc23112_WPSOffice_Level3"/>
      <w:bookmarkStart w:id="69" w:name="_Toc14073_WPSOffice_Level3"/>
      <w:bookmarkStart w:id="70" w:name="_Toc30809_WPSOffice_Level3"/>
      <w:bookmarkStart w:id="71" w:name="_Toc10458_WPSOffice_Level3"/>
      <w:bookmarkStart w:id="72" w:name="_Toc16949_WPSOffice_Level3"/>
      <w:bookmarkStart w:id="73" w:name="_Toc7441_WPSOffice_Level3"/>
    </w:p>
    <w:p>
      <w:pPr>
        <w:spacing w:line="600" w:lineRule="exact"/>
        <w:jc w:val="center"/>
        <w:rPr>
          <w:rFonts w:eastAsia="楷体" w:cs="Times New Roman"/>
          <w:color w:val="000000"/>
          <w:sz w:val="32"/>
          <w:szCs w:val="32"/>
        </w:rPr>
      </w:pPr>
      <w:r>
        <w:rPr>
          <w:rFonts w:eastAsia="楷体" w:cs="Times New Roman"/>
          <w:color w:val="000000"/>
          <w:sz w:val="32"/>
          <w:szCs w:val="32"/>
        </w:rPr>
        <w:t>（</w:t>
      </w:r>
      <w:r>
        <w:rPr>
          <w:rFonts w:hint="eastAsia" w:eastAsia="楷体" w:cs="Times New Roman"/>
          <w:color w:val="000000"/>
          <w:sz w:val="32"/>
          <w:szCs w:val="32"/>
        </w:rPr>
        <w:t>图3：</w:t>
      </w:r>
      <w:r>
        <w:rPr>
          <w:rFonts w:eastAsia="楷体" w:cs="Times New Roman"/>
          <w:color w:val="000000"/>
          <w:sz w:val="32"/>
          <w:szCs w:val="32"/>
        </w:rPr>
        <w:t>支出决算结构图 ）</w:t>
      </w:r>
      <w:bookmarkEnd w:id="66"/>
      <w:bookmarkEnd w:id="67"/>
      <w:bookmarkEnd w:id="68"/>
      <w:bookmarkEnd w:id="69"/>
      <w:bookmarkEnd w:id="70"/>
      <w:bookmarkEnd w:id="71"/>
      <w:bookmarkEnd w:id="72"/>
      <w:bookmarkEnd w:id="73"/>
    </w:p>
    <w:p>
      <w:pPr>
        <w:spacing w:line="600" w:lineRule="exact"/>
        <w:ind w:firstLine="640" w:firstLineChars="200"/>
        <w:jc w:val="center"/>
        <w:rPr>
          <w:rFonts w:eastAsia="楷体" w:cs="Times New Roman"/>
          <w:color w:val="000000"/>
          <w:sz w:val="32"/>
          <w:szCs w:val="32"/>
        </w:rPr>
      </w:pPr>
      <w:r>
        <w:rPr>
          <w:rFonts w:eastAsia="楷体" w:cs="Times New Roman"/>
          <w:color w:val="000000"/>
          <w:sz w:val="32"/>
          <w:szCs w:val="32"/>
          <w:lang w:val="en-US" w:eastAsia="zh-CN"/>
        </w:rPr>
        <w:pict>
          <v:shape id="_x0000_s1031" o:spid="_x0000_s1031" o:spt="75" type="#_x0000_t75" style="position:absolute;left:0pt;margin-left:20.15pt;margin-top:10.9pt;height:182.2pt;width:432.75pt;z-index:251662336;mso-width-relative:page;mso-height-relative:page;" o:ole="t" filled="t" o:preferrelative="t" stroked="t" coordsize="21600,21600">
            <v:path/>
            <v:fill type="gradient" on="t" color2="fill darken(118)" focus="100%" focussize="0,0" method="linear sigma" rotate="t"/>
            <v:stroke color="#00B050" joinstyle="miter"/>
            <v:imagedata r:id="rId11" o:title=""/>
            <o:lock v:ext="edit" aspectratio="t"/>
          </v:shape>
          <o:OLEObject Type="Embed" ProgID="MSGraph.Chart.8" ShapeID="_x0000_s1031" DrawAspect="Content" ObjectID="_1468075727" r:id="rId10">
            <o:LockedField>false</o:LockedField>
          </o:OLEObject>
        </w:pict>
      </w:r>
    </w:p>
    <w:p>
      <w:pPr>
        <w:spacing w:line="600" w:lineRule="exact"/>
        <w:ind w:firstLine="640" w:firstLineChars="200"/>
        <w:jc w:val="center"/>
        <w:rPr>
          <w:rFonts w:eastAsia="楷体" w:cs="Times New Roman"/>
          <w:color w:val="000000"/>
          <w:sz w:val="32"/>
          <w:szCs w:val="32"/>
        </w:rPr>
      </w:pPr>
    </w:p>
    <w:p>
      <w:pPr>
        <w:spacing w:line="600" w:lineRule="exact"/>
        <w:ind w:firstLine="640" w:firstLineChars="200"/>
        <w:jc w:val="center"/>
        <w:rPr>
          <w:rFonts w:eastAsia="楷体" w:cs="Times New Roman"/>
          <w:color w:val="000000"/>
          <w:sz w:val="32"/>
          <w:szCs w:val="32"/>
        </w:rPr>
      </w:pPr>
    </w:p>
    <w:p>
      <w:pPr>
        <w:spacing w:line="600" w:lineRule="exact"/>
        <w:ind w:firstLine="640" w:firstLineChars="200"/>
        <w:rPr>
          <w:rFonts w:hint="eastAsia" w:eastAsia="黑体" w:cs="Times New Roman"/>
          <w:color w:val="000000"/>
          <w:sz w:val="32"/>
          <w:szCs w:val="32"/>
        </w:rPr>
      </w:pPr>
      <w:bookmarkStart w:id="74" w:name="_Toc15377208"/>
      <w:bookmarkStart w:id="75" w:name="_Toc23861_WPSOffice_Level2"/>
    </w:p>
    <w:p>
      <w:pPr>
        <w:pStyle w:val="2"/>
        <w:spacing w:before="173"/>
        <w:rPr>
          <w:rFonts w:hint="eastAsia"/>
        </w:rPr>
      </w:pPr>
    </w:p>
    <w:p>
      <w:pPr>
        <w:pStyle w:val="2"/>
        <w:spacing w:before="173"/>
        <w:rPr>
          <w:rFonts w:hint="eastAsia"/>
        </w:rPr>
      </w:pPr>
    </w:p>
    <w:p>
      <w:pPr>
        <w:spacing w:line="600" w:lineRule="exact"/>
        <w:ind w:firstLine="640" w:firstLineChars="200"/>
        <w:rPr>
          <w:rFonts w:hint="eastAsia" w:eastAsia="黑体" w:cs="Times New Roman"/>
          <w:bCs/>
          <w:color w:val="000000"/>
          <w:sz w:val="32"/>
          <w:szCs w:val="32"/>
        </w:rPr>
      </w:pPr>
      <w:r>
        <w:rPr>
          <w:rFonts w:eastAsia="黑体" w:cs="Times New Roman"/>
          <w:color w:val="000000"/>
          <w:sz w:val="32"/>
          <w:szCs w:val="32"/>
        </w:rPr>
        <w:t>四、财</w:t>
      </w:r>
      <w:r>
        <w:rPr>
          <w:rStyle w:val="20"/>
          <w:rFonts w:ascii="Times New Roman" w:hAnsi="Times New Roman" w:eastAsia="黑体" w:cs="Times New Roman"/>
          <w:b w:val="0"/>
          <w:color w:val="000000"/>
        </w:rPr>
        <w:t>政拨款收入支出决算总体情况说明</w:t>
      </w:r>
      <w:bookmarkEnd w:id="74"/>
      <w:bookmarkEnd w:id="75"/>
    </w:p>
    <w:p>
      <w:pPr>
        <w:snapToGrid w:val="0"/>
        <w:spacing w:line="560" w:lineRule="exact"/>
        <w:ind w:firstLine="640" w:firstLineChars="200"/>
        <w:rPr>
          <w:rFonts w:eastAsia="方正仿宋简体" w:cs="Times New Roman"/>
          <w:sz w:val="32"/>
          <w:szCs w:val="32"/>
        </w:rPr>
      </w:pPr>
      <w:r>
        <w:rPr>
          <w:rFonts w:eastAsia="方正仿宋简体" w:cs="Times New Roman"/>
          <w:sz w:val="32"/>
          <w:szCs w:val="32"/>
        </w:rPr>
        <w:t>20</w:t>
      </w:r>
      <w:r>
        <w:rPr>
          <w:rFonts w:hint="eastAsia" w:eastAsia="方正仿宋简体" w:cs="Times New Roman"/>
          <w:sz w:val="32"/>
          <w:szCs w:val="32"/>
        </w:rPr>
        <w:t>20</w:t>
      </w:r>
      <w:r>
        <w:rPr>
          <w:rFonts w:eastAsia="方正仿宋简体" w:cs="Times New Roman"/>
          <w:sz w:val="32"/>
          <w:szCs w:val="32"/>
        </w:rPr>
        <w:t>年财政拨款收、支总计1</w:t>
      </w:r>
      <w:r>
        <w:rPr>
          <w:rFonts w:hint="eastAsia" w:eastAsia="方正仿宋简体" w:cs="Times New Roman"/>
          <w:sz w:val="32"/>
          <w:szCs w:val="32"/>
        </w:rPr>
        <w:t>85.13</w:t>
      </w:r>
      <w:r>
        <w:rPr>
          <w:rFonts w:eastAsia="方正仿宋简体" w:cs="Times New Roman"/>
          <w:sz w:val="32"/>
          <w:szCs w:val="32"/>
        </w:rPr>
        <w:t>万元。与201</w:t>
      </w:r>
      <w:r>
        <w:rPr>
          <w:rFonts w:hint="eastAsia" w:eastAsia="方正仿宋简体" w:cs="Times New Roman"/>
          <w:sz w:val="32"/>
          <w:szCs w:val="32"/>
        </w:rPr>
        <w:t>9</w:t>
      </w:r>
      <w:r>
        <w:rPr>
          <w:rFonts w:eastAsia="方正仿宋简体" w:cs="Times New Roman"/>
          <w:sz w:val="32"/>
          <w:szCs w:val="32"/>
        </w:rPr>
        <w:t>年相比，财政拨款收、支总计各增加</w:t>
      </w:r>
      <w:r>
        <w:rPr>
          <w:rFonts w:hint="eastAsia" w:eastAsia="方正仿宋简体" w:cs="Times New Roman"/>
          <w:sz w:val="32"/>
          <w:szCs w:val="32"/>
        </w:rPr>
        <w:t>21.22</w:t>
      </w:r>
      <w:r>
        <w:rPr>
          <w:rFonts w:eastAsia="方正仿宋简体" w:cs="Times New Roman"/>
          <w:sz w:val="32"/>
          <w:szCs w:val="32"/>
        </w:rPr>
        <w:t>万元，增长</w:t>
      </w:r>
      <w:r>
        <w:rPr>
          <w:rFonts w:hint="eastAsia" w:eastAsia="方正仿宋简体" w:cs="Times New Roman"/>
          <w:sz w:val="32"/>
          <w:szCs w:val="32"/>
        </w:rPr>
        <w:t>12.94</w:t>
      </w:r>
      <w:r>
        <w:rPr>
          <w:rFonts w:eastAsia="方正仿宋简体" w:cs="Times New Roman"/>
          <w:sz w:val="32"/>
          <w:szCs w:val="32"/>
        </w:rPr>
        <w:t>%。主要变动原因是增加了人员经费等。</w:t>
      </w:r>
    </w:p>
    <w:p>
      <w:pPr>
        <w:spacing w:line="600" w:lineRule="exact"/>
        <w:ind w:firstLine="640" w:firstLineChars="200"/>
        <w:jc w:val="center"/>
        <w:rPr>
          <w:rFonts w:hint="eastAsia" w:eastAsia="楷体" w:cs="Times New Roman"/>
          <w:color w:val="000000"/>
          <w:sz w:val="32"/>
          <w:szCs w:val="32"/>
        </w:rPr>
      </w:pPr>
      <w:bookmarkStart w:id="76" w:name="_Toc31454_WPSOffice_Level3"/>
      <w:bookmarkStart w:id="77" w:name="_Toc20327_WPSOffice_Level3"/>
      <w:bookmarkStart w:id="78" w:name="_Toc5808_WPSOffice_Level3"/>
      <w:bookmarkStart w:id="79" w:name="_Toc177_WPSOffice_Level3"/>
      <w:r>
        <w:rPr>
          <w:rFonts w:eastAsia="楷体" w:cs="Times New Roman"/>
          <w:color w:val="000000"/>
          <w:sz w:val="32"/>
          <w:szCs w:val="32"/>
        </w:rPr>
        <w:t>(</w:t>
      </w:r>
      <w:r>
        <w:rPr>
          <w:rFonts w:hint="eastAsia" w:eastAsia="楷体" w:cs="Times New Roman"/>
          <w:color w:val="000000"/>
          <w:sz w:val="32"/>
          <w:szCs w:val="32"/>
        </w:rPr>
        <w:t>图4：</w:t>
      </w:r>
      <w:r>
        <w:rPr>
          <w:rFonts w:eastAsia="楷体" w:cs="Times New Roman"/>
          <w:color w:val="000000"/>
          <w:sz w:val="32"/>
          <w:szCs w:val="32"/>
        </w:rPr>
        <w:t>财政拨款收、支决算总计变动情况图）</w:t>
      </w:r>
      <w:bookmarkEnd w:id="76"/>
      <w:bookmarkEnd w:id="77"/>
      <w:bookmarkEnd w:id="78"/>
      <w:bookmarkEnd w:id="79"/>
    </w:p>
    <w:p>
      <w:pPr>
        <w:spacing w:line="600" w:lineRule="exact"/>
        <w:ind w:firstLine="640" w:firstLineChars="200"/>
        <w:jc w:val="center"/>
        <w:rPr>
          <w:rFonts w:hint="eastAsia" w:eastAsia="仿宋" w:cs="Times New Roman"/>
          <w:color w:val="000000"/>
          <w:sz w:val="32"/>
          <w:szCs w:val="32"/>
        </w:rPr>
      </w:pPr>
      <w:r>
        <w:rPr>
          <w:rFonts w:eastAsia="仿宋" w:cs="Times New Roman"/>
          <w:color w:val="000000"/>
          <w:sz w:val="32"/>
          <w:szCs w:val="32"/>
          <w:lang w:val="en-US" w:eastAsia="zh-CN"/>
        </w:rPr>
        <w:pict>
          <v:shape id="_x0000_s1032" o:spid="_x0000_s1032" o:spt="75" type="#_x0000_t75" style="position:absolute;left:0pt;margin-left:29.95pt;margin-top:20.35pt;height:184.65pt;width:404.55pt;z-index:251662336;mso-width-relative:page;mso-height-relative:page;" o:ole="t" filled="f" o:preferrelative="t" stroked="t" coordsize="21600,21600">
            <v:path/>
            <v:fill on="f" focussize="0,0"/>
            <v:stroke color="#C00000" joinstyle="miter"/>
            <v:imagedata r:id="rId13" o:title=""/>
            <o:lock v:ext="edit" aspectratio="t"/>
          </v:shape>
          <o:OLEObject Type="Embed" ProgID="MSGraph.Chart.8" ShapeID="_x0000_s1032" DrawAspect="Content" ObjectID="_1468075728" r:id="rId12">
            <o:LockedField>false</o:LockedField>
          </o:OLEObject>
        </w:pict>
      </w:r>
    </w:p>
    <w:p>
      <w:pPr>
        <w:spacing w:line="600" w:lineRule="exact"/>
        <w:ind w:firstLine="640" w:firstLineChars="200"/>
        <w:jc w:val="center"/>
        <w:rPr>
          <w:rFonts w:eastAsia="仿宋" w:cs="Times New Roman"/>
          <w:color w:val="000000"/>
          <w:sz w:val="32"/>
          <w:szCs w:val="32"/>
        </w:rPr>
      </w:pPr>
    </w:p>
    <w:p>
      <w:pPr>
        <w:spacing w:line="600" w:lineRule="exact"/>
        <w:ind w:firstLine="640" w:firstLineChars="200"/>
        <w:jc w:val="center"/>
        <w:rPr>
          <w:rFonts w:eastAsia="仿宋" w:cs="Times New Roman"/>
          <w:color w:val="000000"/>
          <w:sz w:val="32"/>
          <w:szCs w:val="32"/>
        </w:rPr>
      </w:pPr>
    </w:p>
    <w:p>
      <w:pPr>
        <w:spacing w:line="600" w:lineRule="exact"/>
        <w:ind w:firstLine="640" w:firstLineChars="200"/>
        <w:rPr>
          <w:rFonts w:eastAsia="仿宋" w:cs="Times New Roman"/>
          <w:color w:val="000000"/>
          <w:sz w:val="32"/>
          <w:szCs w:val="32"/>
        </w:rPr>
      </w:pPr>
    </w:p>
    <w:p>
      <w:pPr>
        <w:spacing w:line="600" w:lineRule="exact"/>
        <w:ind w:firstLine="640" w:firstLineChars="200"/>
        <w:rPr>
          <w:rFonts w:eastAsia="仿宋" w:cs="Times New Roman"/>
          <w:color w:val="000000"/>
          <w:sz w:val="32"/>
          <w:szCs w:val="32"/>
        </w:rPr>
      </w:pPr>
    </w:p>
    <w:p>
      <w:pPr>
        <w:spacing w:line="600" w:lineRule="exact"/>
        <w:ind w:firstLine="640" w:firstLineChars="200"/>
        <w:rPr>
          <w:rFonts w:eastAsia="仿宋" w:cs="Times New Roman"/>
          <w:color w:val="000000"/>
          <w:sz w:val="32"/>
          <w:szCs w:val="32"/>
        </w:rPr>
      </w:pPr>
    </w:p>
    <w:p>
      <w:pPr>
        <w:spacing w:line="600" w:lineRule="exact"/>
        <w:ind w:firstLine="640" w:firstLineChars="200"/>
        <w:rPr>
          <w:rFonts w:eastAsia="仿宋" w:cs="Times New Roman"/>
          <w:color w:val="000000"/>
          <w:sz w:val="32"/>
          <w:szCs w:val="32"/>
        </w:rPr>
      </w:pPr>
    </w:p>
    <w:p>
      <w:pPr>
        <w:spacing w:line="600" w:lineRule="exact"/>
        <w:ind w:firstLine="640" w:firstLineChars="200"/>
        <w:outlineLvl w:val="1"/>
        <w:rPr>
          <w:rStyle w:val="20"/>
          <w:rFonts w:ascii="Times New Roman" w:hAnsi="Times New Roman" w:eastAsia="黑体" w:cs="Times New Roman"/>
          <w:b w:val="0"/>
          <w:color w:val="000000"/>
        </w:rPr>
      </w:pPr>
      <w:bookmarkStart w:id="80" w:name="_Toc14917_WPSOffice_Level2"/>
      <w:bookmarkStart w:id="81" w:name="_Toc15377209"/>
      <w:bookmarkStart w:id="82" w:name="_Toc16154365"/>
      <w:bookmarkStart w:id="83" w:name="_Toc80806109"/>
      <w:bookmarkStart w:id="84" w:name="_Toc80805976"/>
      <w:bookmarkStart w:id="85" w:name="_Toc81232251"/>
      <w:r>
        <w:rPr>
          <w:rFonts w:eastAsia="黑体" w:cs="Times New Roman"/>
          <w:color w:val="000000"/>
          <w:sz w:val="32"/>
          <w:szCs w:val="32"/>
        </w:rPr>
        <w:t>五、一</w:t>
      </w:r>
      <w:r>
        <w:rPr>
          <w:rStyle w:val="20"/>
          <w:rFonts w:ascii="Times New Roman" w:hAnsi="Times New Roman" w:eastAsia="黑体" w:cs="Times New Roman"/>
          <w:b w:val="0"/>
          <w:color w:val="000000"/>
        </w:rPr>
        <w:t>般公共预算财政拨款支出决算情况说明</w:t>
      </w:r>
      <w:bookmarkEnd w:id="80"/>
      <w:bookmarkEnd w:id="81"/>
      <w:bookmarkEnd w:id="82"/>
      <w:bookmarkEnd w:id="83"/>
      <w:bookmarkEnd w:id="84"/>
      <w:bookmarkEnd w:id="85"/>
    </w:p>
    <w:p>
      <w:pPr>
        <w:spacing w:line="600" w:lineRule="exact"/>
        <w:ind w:firstLine="640" w:firstLineChars="200"/>
        <w:outlineLvl w:val="2"/>
        <w:rPr>
          <w:rFonts w:eastAsia="楷体" w:cs="Times New Roman"/>
          <w:color w:val="000000"/>
          <w:sz w:val="32"/>
          <w:szCs w:val="32"/>
        </w:rPr>
      </w:pPr>
      <w:bookmarkStart w:id="86" w:name="_Toc20442_WPSOffice_Level3"/>
      <w:bookmarkStart w:id="87" w:name="_Toc15377210"/>
      <w:bookmarkStart w:id="88" w:name="_Toc6567_WPSOffice_Level3"/>
      <w:bookmarkStart w:id="89" w:name="_Toc25508_WPSOffice_Level3"/>
      <w:bookmarkStart w:id="90" w:name="_Toc22826_WPSOffice_Level3"/>
      <w:bookmarkStart w:id="91" w:name="_Toc7534_WPSOffice_Level3"/>
      <w:bookmarkStart w:id="92" w:name="_Toc30618_WPSOffice_Level3"/>
      <w:bookmarkStart w:id="93" w:name="_Toc9451_WPSOffice_Level3"/>
      <w:bookmarkStart w:id="94" w:name="_Toc15774_WPSOffice_Level3"/>
      <w:bookmarkStart w:id="95" w:name="_Toc81232252"/>
      <w:bookmarkStart w:id="96" w:name="_Toc80806110"/>
      <w:bookmarkStart w:id="97" w:name="_Toc80805977"/>
      <w:bookmarkStart w:id="98" w:name="_Toc80815013"/>
      <w:r>
        <w:rPr>
          <w:rFonts w:eastAsia="楷体" w:cs="Times New Roman"/>
          <w:color w:val="000000"/>
          <w:sz w:val="32"/>
          <w:szCs w:val="32"/>
        </w:rPr>
        <w:t>（一）一般公共预算财政拨款支出决算总体情况</w:t>
      </w:r>
      <w:bookmarkEnd w:id="86"/>
      <w:bookmarkEnd w:id="87"/>
      <w:bookmarkEnd w:id="88"/>
      <w:bookmarkEnd w:id="89"/>
      <w:bookmarkEnd w:id="90"/>
      <w:bookmarkEnd w:id="91"/>
      <w:bookmarkEnd w:id="92"/>
      <w:bookmarkEnd w:id="93"/>
      <w:bookmarkEnd w:id="94"/>
      <w:bookmarkEnd w:id="95"/>
      <w:bookmarkEnd w:id="96"/>
      <w:bookmarkEnd w:id="97"/>
      <w:bookmarkEnd w:id="98"/>
      <w:r>
        <w:rPr>
          <w:rFonts w:hint="eastAsia" w:eastAsia="楷体" w:cs="Times New Roman"/>
          <w:color w:val="000000"/>
          <w:sz w:val="32"/>
          <w:szCs w:val="32"/>
        </w:rPr>
        <w:t xml:space="preserve"> </w:t>
      </w:r>
    </w:p>
    <w:p>
      <w:pPr>
        <w:spacing w:line="600" w:lineRule="exact"/>
        <w:ind w:firstLine="640" w:firstLineChars="200"/>
        <w:rPr>
          <w:rFonts w:hint="eastAsia"/>
        </w:rPr>
      </w:pPr>
      <w:r>
        <w:rPr>
          <w:rFonts w:eastAsia="方正仿宋简体" w:cs="Times New Roman"/>
          <w:sz w:val="32"/>
          <w:szCs w:val="32"/>
        </w:rPr>
        <w:t>20</w:t>
      </w:r>
      <w:r>
        <w:rPr>
          <w:rFonts w:hint="eastAsia" w:eastAsia="方正仿宋简体" w:cs="Times New Roman"/>
          <w:sz w:val="32"/>
          <w:szCs w:val="32"/>
        </w:rPr>
        <w:t>20</w:t>
      </w:r>
      <w:r>
        <w:rPr>
          <w:rFonts w:eastAsia="方正仿宋简体" w:cs="Times New Roman"/>
          <w:sz w:val="32"/>
          <w:szCs w:val="32"/>
        </w:rPr>
        <w:t>年一般公共预算财政拨款支出1</w:t>
      </w:r>
      <w:r>
        <w:rPr>
          <w:rFonts w:hint="eastAsia" w:eastAsia="方正仿宋简体" w:cs="Times New Roman"/>
          <w:sz w:val="32"/>
          <w:szCs w:val="32"/>
        </w:rPr>
        <w:t>85.13</w:t>
      </w:r>
      <w:r>
        <w:rPr>
          <w:rFonts w:eastAsia="方正仿宋简体" w:cs="Times New Roman"/>
          <w:sz w:val="32"/>
          <w:szCs w:val="32"/>
        </w:rPr>
        <w:t>万元，占本年支出合计的100%。与201</w:t>
      </w:r>
      <w:r>
        <w:rPr>
          <w:rFonts w:hint="eastAsia" w:eastAsia="方正仿宋简体" w:cs="Times New Roman"/>
          <w:sz w:val="32"/>
          <w:szCs w:val="32"/>
        </w:rPr>
        <w:t>9</w:t>
      </w:r>
      <w:r>
        <w:rPr>
          <w:rFonts w:eastAsia="方正仿宋简体" w:cs="Times New Roman"/>
          <w:sz w:val="32"/>
          <w:szCs w:val="32"/>
        </w:rPr>
        <w:t>年相比，一般公共预算财政拨款增加</w:t>
      </w:r>
      <w:r>
        <w:rPr>
          <w:rFonts w:hint="eastAsia" w:eastAsia="方正仿宋简体" w:cs="Times New Roman"/>
          <w:sz w:val="32"/>
          <w:szCs w:val="32"/>
        </w:rPr>
        <w:t>21.22</w:t>
      </w:r>
      <w:r>
        <w:rPr>
          <w:rFonts w:eastAsia="方正仿宋简体" w:cs="Times New Roman"/>
          <w:sz w:val="32"/>
          <w:szCs w:val="32"/>
        </w:rPr>
        <w:t>万元，增长</w:t>
      </w:r>
      <w:r>
        <w:rPr>
          <w:rFonts w:hint="eastAsia" w:eastAsia="方正仿宋简体" w:cs="Times New Roman"/>
          <w:sz w:val="32"/>
          <w:szCs w:val="32"/>
        </w:rPr>
        <w:t>12.94</w:t>
      </w:r>
      <w:r>
        <w:rPr>
          <w:rFonts w:eastAsia="方正仿宋简体" w:cs="Times New Roman"/>
          <w:sz w:val="32"/>
          <w:szCs w:val="32"/>
        </w:rPr>
        <w:t>%。主要变动原因是增加了人员经费等支出。</w:t>
      </w:r>
    </w:p>
    <w:p>
      <w:pPr>
        <w:spacing w:line="600" w:lineRule="exact"/>
        <w:jc w:val="center"/>
        <w:rPr>
          <w:rFonts w:hint="eastAsia" w:eastAsia="楷体" w:cs="Times New Roman"/>
          <w:color w:val="000000"/>
          <w:sz w:val="32"/>
          <w:szCs w:val="32"/>
        </w:rPr>
      </w:pPr>
      <w:bookmarkStart w:id="99" w:name="_Toc4040_WPSOffice_Level3"/>
      <w:bookmarkStart w:id="100" w:name="_Toc3738_WPSOffice_Level3"/>
      <w:bookmarkStart w:id="101" w:name="_Toc16427_WPSOffice_Level3"/>
      <w:bookmarkStart w:id="102" w:name="_Toc11434_WPSOffice_Level3"/>
      <w:bookmarkStart w:id="103" w:name="_Toc23278_WPSOffice_Level3"/>
      <w:bookmarkStart w:id="104" w:name="_Toc31984_WPSOffice_Level3"/>
      <w:bookmarkStart w:id="105" w:name="_Toc32674_WPSOffice_Level3"/>
      <w:r>
        <w:rPr>
          <w:rFonts w:eastAsia="仿宋" w:cs="Times New Roman"/>
          <w:color w:val="000000"/>
          <w:sz w:val="32"/>
          <w:szCs w:val="32"/>
        </w:rPr>
        <w:t>（</w:t>
      </w:r>
      <w:r>
        <w:rPr>
          <w:rFonts w:hint="eastAsia" w:eastAsia="楷体" w:cs="Times New Roman"/>
          <w:color w:val="000000"/>
          <w:sz w:val="32"/>
          <w:szCs w:val="32"/>
        </w:rPr>
        <w:t>图5：</w:t>
      </w:r>
      <w:r>
        <w:rPr>
          <w:rFonts w:eastAsia="楷体" w:cs="Times New Roman"/>
          <w:color w:val="000000"/>
          <w:sz w:val="32"/>
          <w:szCs w:val="32"/>
        </w:rPr>
        <w:t>一般公共预算财政拨款支出决算变动情况</w:t>
      </w:r>
      <w:r>
        <w:rPr>
          <w:rFonts w:hint="eastAsia" w:eastAsia="楷体" w:cs="Times New Roman"/>
          <w:color w:val="000000"/>
          <w:sz w:val="32"/>
          <w:szCs w:val="32"/>
        </w:rPr>
        <w:t>图</w:t>
      </w:r>
      <w:r>
        <w:rPr>
          <w:rFonts w:eastAsia="楷体" w:cs="Times New Roman"/>
          <w:color w:val="000000"/>
          <w:sz w:val="32"/>
          <w:szCs w:val="32"/>
        </w:rPr>
        <w:t>）</w:t>
      </w:r>
      <w:bookmarkEnd w:id="99"/>
      <w:bookmarkEnd w:id="100"/>
      <w:bookmarkEnd w:id="101"/>
      <w:bookmarkEnd w:id="102"/>
      <w:bookmarkEnd w:id="103"/>
      <w:bookmarkEnd w:id="104"/>
      <w:bookmarkEnd w:id="105"/>
    </w:p>
    <w:p>
      <w:pPr>
        <w:spacing w:line="600" w:lineRule="exact"/>
        <w:ind w:firstLine="640" w:firstLineChars="200"/>
        <w:jc w:val="center"/>
        <w:rPr>
          <w:rFonts w:hint="eastAsia" w:eastAsia="楷体" w:cs="Times New Roman"/>
          <w:color w:val="000000"/>
          <w:sz w:val="32"/>
          <w:szCs w:val="32"/>
        </w:rPr>
      </w:pPr>
      <w:r>
        <w:rPr>
          <w:rFonts w:eastAsia="楷体" w:cs="Times New Roman"/>
          <w:color w:val="000000"/>
          <w:sz w:val="32"/>
          <w:szCs w:val="32"/>
        </w:rPr>
        <w:pict>
          <v:shape id="_x0000_s1033" o:spid="_x0000_s1033" o:spt="75" type="#_x0000_t75" style="position:absolute;left:0pt;margin-left:7.6pt;margin-top:13.1pt;height:164.7pt;width:434.3pt;z-index:251663360;mso-width-relative:page;mso-height-relative:page;" o:ole="t" filled="f" o:preferrelative="t" stroked="t" coordsize="21600,21600">
            <v:path/>
            <v:fill on="f" focussize="0,0"/>
            <v:stroke color="#C00000" joinstyle="miter"/>
            <v:imagedata r:id="rId15" o:title=""/>
            <o:lock v:ext="edit" aspectratio="t"/>
          </v:shape>
          <o:OLEObject Type="Embed" ProgID="MSGraph.Chart.8" ShapeID="_x0000_s1033" DrawAspect="Content" ObjectID="_1468075729" r:id="rId14">
            <o:LockedField>false</o:LockedField>
          </o:OLEObject>
        </w:pict>
      </w:r>
    </w:p>
    <w:p>
      <w:pPr>
        <w:spacing w:line="600" w:lineRule="exact"/>
        <w:jc w:val="center"/>
        <w:rPr>
          <w:rFonts w:hint="eastAsia" w:eastAsia="仿宋" w:cs="Times New Roman"/>
          <w:color w:val="000000"/>
          <w:sz w:val="32"/>
          <w:szCs w:val="32"/>
        </w:rPr>
      </w:pPr>
    </w:p>
    <w:p>
      <w:pPr>
        <w:spacing w:line="600" w:lineRule="exact"/>
        <w:jc w:val="center"/>
        <w:rPr>
          <w:rFonts w:eastAsia="仿宋" w:cs="Times New Roman"/>
          <w:color w:val="000000"/>
          <w:sz w:val="32"/>
          <w:szCs w:val="32"/>
        </w:rPr>
      </w:pPr>
    </w:p>
    <w:p>
      <w:pPr>
        <w:spacing w:line="600" w:lineRule="exact"/>
        <w:ind w:firstLine="640" w:firstLineChars="200"/>
        <w:jc w:val="center"/>
        <w:rPr>
          <w:rFonts w:eastAsia="仿宋" w:cs="Times New Roman"/>
          <w:color w:val="000000"/>
          <w:sz w:val="32"/>
          <w:szCs w:val="32"/>
        </w:rPr>
      </w:pPr>
    </w:p>
    <w:p>
      <w:pPr>
        <w:spacing w:line="600" w:lineRule="exact"/>
        <w:ind w:firstLine="640" w:firstLineChars="200"/>
        <w:jc w:val="center"/>
        <w:rPr>
          <w:rFonts w:eastAsia="仿宋" w:cs="Times New Roman"/>
          <w:color w:val="000000"/>
          <w:sz w:val="32"/>
          <w:szCs w:val="32"/>
        </w:rPr>
      </w:pPr>
    </w:p>
    <w:p>
      <w:pPr>
        <w:spacing w:line="600" w:lineRule="exact"/>
        <w:ind w:firstLine="640" w:firstLineChars="200"/>
        <w:outlineLvl w:val="2"/>
        <w:rPr>
          <w:rFonts w:eastAsia="楷体" w:cs="Times New Roman"/>
          <w:color w:val="000000"/>
          <w:sz w:val="32"/>
          <w:szCs w:val="32"/>
        </w:rPr>
      </w:pPr>
      <w:bookmarkStart w:id="106" w:name="_Toc122_WPSOffice_Level3"/>
      <w:bookmarkStart w:id="107" w:name="_Toc21632_WPSOffice_Level3"/>
      <w:bookmarkStart w:id="108" w:name="_Toc25766_WPSOffice_Level3"/>
      <w:bookmarkStart w:id="109" w:name="_Toc15377211"/>
      <w:bookmarkStart w:id="110" w:name="_Toc24599_WPSOffice_Level3"/>
      <w:bookmarkStart w:id="111" w:name="_Toc13472_WPSOffice_Level3"/>
      <w:bookmarkStart w:id="112" w:name="_Toc28082_WPSOffice_Level3"/>
      <w:bookmarkStart w:id="113" w:name="_Toc16963_WPSOffice_Level3"/>
      <w:bookmarkStart w:id="114" w:name="_Toc80815014"/>
      <w:bookmarkStart w:id="115" w:name="_Toc80805978"/>
      <w:bookmarkStart w:id="116" w:name="_Toc12443_WPSOffice_Level3"/>
      <w:bookmarkStart w:id="117" w:name="_Toc80806111"/>
      <w:bookmarkStart w:id="118" w:name="_Toc81232253"/>
      <w:r>
        <w:rPr>
          <w:rFonts w:eastAsia="楷体" w:cs="Times New Roman"/>
          <w:color w:val="000000"/>
          <w:sz w:val="32"/>
          <w:szCs w:val="32"/>
        </w:rPr>
        <w:t>（二）一般公共预算财政拨款支出决算结构情况</w:t>
      </w:r>
      <w:bookmarkEnd w:id="106"/>
      <w:bookmarkEnd w:id="107"/>
      <w:bookmarkEnd w:id="108"/>
      <w:bookmarkEnd w:id="109"/>
      <w:bookmarkEnd w:id="110"/>
      <w:bookmarkEnd w:id="111"/>
      <w:bookmarkEnd w:id="112"/>
      <w:bookmarkEnd w:id="113"/>
      <w:bookmarkEnd w:id="114"/>
      <w:bookmarkEnd w:id="115"/>
      <w:bookmarkEnd w:id="116"/>
      <w:bookmarkEnd w:id="117"/>
      <w:bookmarkEnd w:id="118"/>
    </w:p>
    <w:p>
      <w:pPr>
        <w:snapToGrid w:val="0"/>
        <w:spacing w:line="560" w:lineRule="exact"/>
        <w:ind w:firstLine="640" w:firstLineChars="200"/>
        <w:rPr>
          <w:rFonts w:eastAsia="方正仿宋简体" w:cs="Times New Roman"/>
          <w:sz w:val="32"/>
          <w:szCs w:val="32"/>
        </w:rPr>
      </w:pPr>
      <w:r>
        <w:rPr>
          <w:rFonts w:eastAsia="方正仿宋简体" w:cs="Times New Roman"/>
          <w:sz w:val="32"/>
          <w:szCs w:val="32"/>
        </w:rPr>
        <w:t>20</w:t>
      </w:r>
      <w:r>
        <w:rPr>
          <w:rFonts w:hint="eastAsia" w:eastAsia="方正仿宋简体" w:cs="Times New Roman"/>
          <w:sz w:val="32"/>
          <w:szCs w:val="32"/>
        </w:rPr>
        <w:t>20</w:t>
      </w:r>
      <w:r>
        <w:rPr>
          <w:rFonts w:eastAsia="方正仿宋简体" w:cs="Times New Roman"/>
          <w:sz w:val="32"/>
          <w:szCs w:val="32"/>
        </w:rPr>
        <w:t>年一般公共预算财政拨款支出1</w:t>
      </w:r>
      <w:r>
        <w:rPr>
          <w:rFonts w:hint="eastAsia" w:eastAsia="方正仿宋简体" w:cs="Times New Roman"/>
          <w:sz w:val="32"/>
          <w:szCs w:val="32"/>
        </w:rPr>
        <w:t>85.13</w:t>
      </w:r>
      <w:r>
        <w:rPr>
          <w:rFonts w:eastAsia="方正仿宋简体" w:cs="Times New Roman"/>
          <w:sz w:val="32"/>
          <w:szCs w:val="32"/>
        </w:rPr>
        <w:t>万元，主要用于以下方面</w:t>
      </w:r>
      <w:r>
        <w:rPr>
          <w:rFonts w:hint="eastAsia" w:eastAsia="方正仿宋简体" w:cs="Times New Roman"/>
          <w:sz w:val="32"/>
          <w:szCs w:val="32"/>
        </w:rPr>
        <w:t>：</w:t>
      </w:r>
      <w:r>
        <w:rPr>
          <w:rFonts w:eastAsia="方正仿宋简体" w:cs="Times New Roman"/>
          <w:sz w:val="32"/>
          <w:szCs w:val="32"/>
        </w:rPr>
        <w:t>一般公共服务（</w:t>
      </w:r>
      <w:r>
        <w:rPr>
          <w:rStyle w:val="15"/>
          <w:rFonts w:hint="eastAsia" w:eastAsia="方正仿宋简体" w:cs="Times New Roman"/>
          <w:b w:val="0"/>
          <w:color w:val="000000"/>
          <w:sz w:val="32"/>
          <w:szCs w:val="32"/>
        </w:rPr>
        <w:t>类</w:t>
      </w:r>
      <w:r>
        <w:rPr>
          <w:rFonts w:eastAsia="方正仿宋简体" w:cs="Times New Roman"/>
          <w:sz w:val="32"/>
          <w:szCs w:val="32"/>
        </w:rPr>
        <w:t>）支出</w:t>
      </w:r>
      <w:r>
        <w:rPr>
          <w:rFonts w:hint="eastAsia" w:eastAsia="方正仿宋简体" w:cs="Times New Roman"/>
          <w:sz w:val="32"/>
          <w:szCs w:val="32"/>
        </w:rPr>
        <w:t>135.48</w:t>
      </w:r>
      <w:r>
        <w:rPr>
          <w:rFonts w:eastAsia="方正仿宋简体" w:cs="Times New Roman"/>
          <w:sz w:val="32"/>
          <w:szCs w:val="32"/>
        </w:rPr>
        <w:t>万元，占7</w:t>
      </w:r>
      <w:r>
        <w:rPr>
          <w:rFonts w:hint="eastAsia" w:eastAsia="方正仿宋简体" w:cs="Times New Roman"/>
          <w:sz w:val="32"/>
          <w:szCs w:val="32"/>
        </w:rPr>
        <w:t>3.18</w:t>
      </w:r>
      <w:r>
        <w:rPr>
          <w:rFonts w:eastAsia="方正仿宋简体" w:cs="Times New Roman"/>
          <w:sz w:val="32"/>
          <w:szCs w:val="32"/>
        </w:rPr>
        <w:t>%；教育支出（</w:t>
      </w:r>
      <w:r>
        <w:rPr>
          <w:rStyle w:val="15"/>
          <w:rFonts w:hint="eastAsia" w:eastAsia="方正仿宋简体" w:cs="Times New Roman"/>
          <w:b w:val="0"/>
          <w:color w:val="000000"/>
          <w:sz w:val="32"/>
          <w:szCs w:val="32"/>
        </w:rPr>
        <w:t>类</w:t>
      </w:r>
      <w:r>
        <w:rPr>
          <w:rFonts w:eastAsia="方正仿宋简体" w:cs="Times New Roman"/>
          <w:sz w:val="32"/>
          <w:szCs w:val="32"/>
        </w:rPr>
        <w:t>）</w:t>
      </w:r>
      <w:r>
        <w:rPr>
          <w:rFonts w:hint="eastAsia" w:eastAsia="方正仿宋简体" w:cs="Times New Roman"/>
          <w:sz w:val="32"/>
          <w:szCs w:val="32"/>
        </w:rPr>
        <w:t>2.45</w:t>
      </w:r>
      <w:r>
        <w:rPr>
          <w:rFonts w:eastAsia="方正仿宋简体" w:cs="Times New Roman"/>
          <w:sz w:val="32"/>
          <w:szCs w:val="32"/>
        </w:rPr>
        <w:t>万元，占</w:t>
      </w:r>
      <w:r>
        <w:rPr>
          <w:rFonts w:hint="eastAsia" w:eastAsia="方正仿宋简体" w:cs="Times New Roman"/>
          <w:sz w:val="32"/>
          <w:szCs w:val="32"/>
        </w:rPr>
        <w:t>1.32</w:t>
      </w:r>
      <w:r>
        <w:rPr>
          <w:rFonts w:eastAsia="方正仿宋简体" w:cs="Times New Roman"/>
          <w:sz w:val="32"/>
          <w:szCs w:val="32"/>
        </w:rPr>
        <w:t>%；社会保障和就业（</w:t>
      </w:r>
      <w:r>
        <w:rPr>
          <w:rStyle w:val="15"/>
          <w:rFonts w:hint="eastAsia" w:eastAsia="方正仿宋简体" w:cs="Times New Roman"/>
          <w:b w:val="0"/>
          <w:color w:val="000000"/>
          <w:sz w:val="32"/>
          <w:szCs w:val="32"/>
        </w:rPr>
        <w:t>类</w:t>
      </w:r>
      <w:r>
        <w:rPr>
          <w:rFonts w:eastAsia="方正仿宋简体" w:cs="Times New Roman"/>
          <w:sz w:val="32"/>
          <w:szCs w:val="32"/>
        </w:rPr>
        <w:t>）支出</w:t>
      </w:r>
      <w:r>
        <w:rPr>
          <w:rFonts w:hint="eastAsia" w:eastAsia="方正仿宋简体" w:cs="Times New Roman"/>
          <w:sz w:val="32"/>
          <w:szCs w:val="32"/>
        </w:rPr>
        <w:t>8.72</w:t>
      </w:r>
      <w:r>
        <w:rPr>
          <w:rFonts w:eastAsia="方正仿宋简体" w:cs="Times New Roman"/>
          <w:sz w:val="32"/>
          <w:szCs w:val="32"/>
        </w:rPr>
        <w:t>万元，占</w:t>
      </w:r>
      <w:r>
        <w:rPr>
          <w:rFonts w:hint="eastAsia" w:eastAsia="方正仿宋简体" w:cs="Times New Roman"/>
          <w:sz w:val="32"/>
          <w:szCs w:val="32"/>
        </w:rPr>
        <w:t>4.71</w:t>
      </w:r>
      <w:r>
        <w:rPr>
          <w:rFonts w:eastAsia="方正仿宋简体" w:cs="Times New Roman"/>
          <w:sz w:val="32"/>
          <w:szCs w:val="32"/>
        </w:rPr>
        <w:t>%；卫生健康（</w:t>
      </w:r>
      <w:r>
        <w:rPr>
          <w:rStyle w:val="15"/>
          <w:rFonts w:hint="eastAsia" w:eastAsia="方正仿宋简体" w:cs="Times New Roman"/>
          <w:b w:val="0"/>
          <w:color w:val="000000"/>
          <w:sz w:val="32"/>
          <w:szCs w:val="32"/>
        </w:rPr>
        <w:t>类</w:t>
      </w:r>
      <w:r>
        <w:rPr>
          <w:rFonts w:eastAsia="方正仿宋简体" w:cs="Times New Roman"/>
          <w:sz w:val="32"/>
          <w:szCs w:val="32"/>
        </w:rPr>
        <w:t>）支出</w:t>
      </w:r>
      <w:r>
        <w:rPr>
          <w:rFonts w:hint="eastAsia" w:eastAsia="方正仿宋简体" w:cs="Times New Roman"/>
          <w:sz w:val="32"/>
          <w:szCs w:val="32"/>
        </w:rPr>
        <w:t>7.23</w:t>
      </w:r>
      <w:r>
        <w:rPr>
          <w:rFonts w:eastAsia="方正仿宋简体" w:cs="Times New Roman"/>
          <w:sz w:val="32"/>
          <w:szCs w:val="32"/>
        </w:rPr>
        <w:t>万元，占</w:t>
      </w:r>
      <w:r>
        <w:rPr>
          <w:rFonts w:hint="eastAsia" w:eastAsia="方正仿宋简体" w:cs="Times New Roman"/>
          <w:sz w:val="32"/>
          <w:szCs w:val="32"/>
        </w:rPr>
        <w:t>3.91</w:t>
      </w:r>
      <w:r>
        <w:rPr>
          <w:rFonts w:eastAsia="方正仿宋简体" w:cs="Times New Roman"/>
          <w:sz w:val="32"/>
          <w:szCs w:val="32"/>
        </w:rPr>
        <w:t>%；住房保障（</w:t>
      </w:r>
      <w:r>
        <w:rPr>
          <w:rStyle w:val="15"/>
          <w:rFonts w:hint="eastAsia" w:eastAsia="方正仿宋简体" w:cs="Times New Roman"/>
          <w:b w:val="0"/>
          <w:color w:val="000000"/>
          <w:sz w:val="32"/>
          <w:szCs w:val="32"/>
        </w:rPr>
        <w:t>类</w:t>
      </w:r>
      <w:r>
        <w:rPr>
          <w:rFonts w:eastAsia="方正仿宋简体" w:cs="Times New Roman"/>
          <w:sz w:val="32"/>
          <w:szCs w:val="32"/>
        </w:rPr>
        <w:t>）支出</w:t>
      </w:r>
      <w:r>
        <w:rPr>
          <w:rFonts w:hint="eastAsia" w:eastAsia="方正仿宋简体" w:cs="Times New Roman"/>
          <w:sz w:val="32"/>
          <w:szCs w:val="32"/>
        </w:rPr>
        <w:t>31.25</w:t>
      </w:r>
      <w:r>
        <w:rPr>
          <w:rFonts w:eastAsia="方正仿宋简体" w:cs="Times New Roman"/>
          <w:sz w:val="32"/>
          <w:szCs w:val="32"/>
        </w:rPr>
        <w:t>万元，占</w:t>
      </w:r>
      <w:r>
        <w:rPr>
          <w:rFonts w:hint="eastAsia" w:eastAsia="方正仿宋简体" w:cs="Times New Roman"/>
          <w:sz w:val="32"/>
          <w:szCs w:val="32"/>
        </w:rPr>
        <w:t>16.88</w:t>
      </w:r>
      <w:r>
        <w:rPr>
          <w:rFonts w:eastAsia="方正仿宋简体" w:cs="Times New Roman"/>
          <w:sz w:val="32"/>
          <w:szCs w:val="32"/>
        </w:rPr>
        <w:t>%。</w:t>
      </w:r>
    </w:p>
    <w:p>
      <w:pPr>
        <w:spacing w:line="600" w:lineRule="exact"/>
        <w:jc w:val="center"/>
        <w:rPr>
          <w:rFonts w:ascii="楷体" w:hAnsi="楷体" w:eastAsia="楷体" w:cs="Times New Roman"/>
          <w:color w:val="000000"/>
          <w:sz w:val="32"/>
          <w:szCs w:val="32"/>
        </w:rPr>
      </w:pPr>
      <w:bookmarkStart w:id="119" w:name="_Toc8332_WPSOffice_Level3"/>
      <w:bookmarkStart w:id="120" w:name="_Toc20679_WPSOffice_Level3"/>
      <w:bookmarkStart w:id="121" w:name="_Toc23884_WPSOffice_Level3"/>
      <w:bookmarkStart w:id="122" w:name="_Toc22822_WPSOffice_Level3"/>
      <w:bookmarkStart w:id="123" w:name="_Toc20949_WPSOffice_Level3"/>
      <w:bookmarkStart w:id="124" w:name="_Toc6020_WPSOffice_Level3"/>
      <w:bookmarkStart w:id="125" w:name="_Toc11319_WPSOffice_Level3"/>
      <w:r>
        <w:rPr>
          <w:rFonts w:ascii="楷体" w:hAnsi="楷体" w:eastAsia="楷体" w:cs="Times New Roman"/>
          <w:color w:val="000000"/>
          <w:sz w:val="32"/>
          <w:szCs w:val="32"/>
        </w:rPr>
        <w:t>（</w:t>
      </w:r>
      <w:r>
        <w:rPr>
          <w:rFonts w:hint="eastAsia" w:ascii="楷体" w:hAnsi="楷体" w:eastAsia="楷体" w:cs="Times New Roman"/>
          <w:color w:val="000000"/>
          <w:sz w:val="32"/>
          <w:szCs w:val="32"/>
        </w:rPr>
        <w:t>图</w:t>
      </w:r>
      <w:r>
        <w:rPr>
          <w:rFonts w:eastAsia="楷体" w:cs="Times New Roman"/>
          <w:color w:val="000000"/>
          <w:sz w:val="32"/>
          <w:szCs w:val="32"/>
        </w:rPr>
        <w:t>6</w:t>
      </w:r>
      <w:r>
        <w:rPr>
          <w:rFonts w:hint="eastAsia" w:ascii="楷体" w:hAnsi="楷体" w:eastAsia="楷体" w:cs="Times New Roman"/>
          <w:color w:val="000000"/>
          <w:sz w:val="32"/>
          <w:szCs w:val="32"/>
        </w:rPr>
        <w:t>：</w:t>
      </w:r>
      <w:r>
        <w:rPr>
          <w:rFonts w:ascii="楷体" w:hAnsi="楷体" w:eastAsia="楷体" w:cs="Times New Roman"/>
          <w:color w:val="000000"/>
          <w:sz w:val="32"/>
          <w:szCs w:val="32"/>
        </w:rPr>
        <w:t>一般公共预算财政拨款支出决算结构</w:t>
      </w:r>
      <w:r>
        <w:rPr>
          <w:rFonts w:hint="eastAsia" w:ascii="楷体" w:hAnsi="楷体" w:eastAsia="楷体" w:cs="Times New Roman"/>
          <w:color w:val="000000"/>
          <w:sz w:val="32"/>
          <w:szCs w:val="32"/>
        </w:rPr>
        <w:t>情况图</w:t>
      </w:r>
      <w:r>
        <w:rPr>
          <w:rFonts w:ascii="楷体" w:hAnsi="楷体" w:eastAsia="楷体" w:cs="Times New Roman"/>
          <w:color w:val="000000"/>
          <w:sz w:val="32"/>
          <w:szCs w:val="32"/>
        </w:rPr>
        <w:t>）</w:t>
      </w:r>
      <w:bookmarkEnd w:id="119"/>
      <w:bookmarkEnd w:id="120"/>
      <w:bookmarkEnd w:id="121"/>
      <w:bookmarkEnd w:id="122"/>
      <w:bookmarkEnd w:id="123"/>
      <w:bookmarkEnd w:id="124"/>
      <w:bookmarkEnd w:id="125"/>
    </w:p>
    <w:p>
      <w:pPr>
        <w:spacing w:line="600" w:lineRule="exact"/>
        <w:jc w:val="center"/>
        <w:rPr>
          <w:rFonts w:eastAsia="仿宋" w:cs="Times New Roman"/>
          <w:color w:val="000000"/>
          <w:sz w:val="32"/>
          <w:szCs w:val="32"/>
        </w:rPr>
      </w:pPr>
      <w:r>
        <w:rPr>
          <w:rFonts w:eastAsia="仿宋" w:cs="Times New Roman"/>
          <w:color w:val="000000"/>
          <w:sz w:val="32"/>
          <w:szCs w:val="32"/>
          <w:lang w:val="en-US" w:eastAsia="zh-CN"/>
        </w:rPr>
        <w:pict>
          <v:shape id="_x0000_s1034" o:spid="_x0000_s1034" o:spt="75" type="#_x0000_t75" style="position:absolute;left:0pt;margin-left:15.2pt;margin-top:10.1pt;height:176.8pt;width:425.95pt;z-index:-251656192;mso-width-relative:page;mso-height-relative:page;" o:ole="t" filled="t" o:preferrelative="t" stroked="t" coordsize="21600,21600">
            <v:path/>
            <v:fill on="t" focussize="0,0"/>
            <v:stroke joinstyle="miter"/>
            <v:imagedata r:id="rId17" o:title=""/>
            <o:lock v:ext="edit" aspectratio="t"/>
          </v:shape>
          <o:OLEObject Type="Embed" ProgID="MSGraph.Chart.8" ShapeID="_x0000_s1034" DrawAspect="Content" ObjectID="_1468075730" r:id="rId16">
            <o:LockedField>false</o:LockedField>
          </o:OLEObject>
        </w:pict>
      </w:r>
    </w:p>
    <w:p>
      <w:pPr>
        <w:spacing w:line="600" w:lineRule="exact"/>
        <w:jc w:val="center"/>
        <w:rPr>
          <w:rFonts w:eastAsia="仿宋" w:cs="Times New Roman"/>
          <w:color w:val="000000"/>
          <w:sz w:val="32"/>
          <w:szCs w:val="32"/>
        </w:rPr>
      </w:pPr>
    </w:p>
    <w:p>
      <w:pPr>
        <w:spacing w:line="600" w:lineRule="exact"/>
        <w:jc w:val="center"/>
        <w:rPr>
          <w:rFonts w:eastAsia="仿宋" w:cs="Times New Roman"/>
          <w:color w:val="000000"/>
          <w:sz w:val="32"/>
          <w:szCs w:val="32"/>
        </w:rPr>
      </w:pPr>
    </w:p>
    <w:p>
      <w:pPr>
        <w:tabs>
          <w:tab w:val="left" w:pos="6899"/>
          <w:tab w:val="left" w:pos="7736"/>
        </w:tabs>
        <w:spacing w:line="600" w:lineRule="exact"/>
        <w:jc w:val="left"/>
        <w:rPr>
          <w:rFonts w:eastAsia="仿宋" w:cs="Times New Roman"/>
          <w:color w:val="000000"/>
          <w:sz w:val="32"/>
          <w:szCs w:val="32"/>
        </w:rPr>
      </w:pPr>
      <w:r>
        <w:rPr>
          <w:rFonts w:eastAsia="仿宋" w:cs="Times New Roman"/>
          <w:color w:val="000000"/>
          <w:sz w:val="32"/>
          <w:szCs w:val="32"/>
        </w:rPr>
        <w:tab/>
      </w:r>
      <w:r>
        <w:rPr>
          <w:rFonts w:eastAsia="仿宋" w:cs="Times New Roman"/>
          <w:color w:val="000000"/>
          <w:sz w:val="32"/>
          <w:szCs w:val="32"/>
        </w:rPr>
        <w:tab/>
      </w:r>
    </w:p>
    <w:p>
      <w:pPr>
        <w:tabs>
          <w:tab w:val="left" w:pos="7736"/>
        </w:tabs>
        <w:spacing w:line="600" w:lineRule="exact"/>
        <w:ind w:firstLine="640" w:firstLineChars="200"/>
        <w:outlineLvl w:val="2"/>
        <w:rPr>
          <w:rFonts w:hint="eastAsia" w:eastAsia="楷体" w:cs="Times New Roman"/>
          <w:color w:val="000000"/>
          <w:sz w:val="32"/>
          <w:szCs w:val="32"/>
        </w:rPr>
      </w:pPr>
      <w:bookmarkStart w:id="126" w:name="_Toc27259_WPSOffice_Level3"/>
      <w:bookmarkStart w:id="127" w:name="_Toc14199_WPSOffice_Level3"/>
      <w:bookmarkStart w:id="128" w:name="_Toc15377212"/>
      <w:bookmarkStart w:id="129" w:name="_Toc15480_WPSOffice_Level3"/>
      <w:bookmarkStart w:id="130" w:name="_Toc12152_WPSOffice_Level3"/>
      <w:bookmarkStart w:id="131" w:name="_Toc32559_WPSOffice_Level3"/>
      <w:bookmarkStart w:id="132" w:name="_Toc27473_WPSOffice_Level3"/>
      <w:bookmarkStart w:id="133" w:name="_Toc80806112"/>
      <w:bookmarkStart w:id="134" w:name="_Toc1276_WPSOffice_Level3"/>
      <w:bookmarkStart w:id="135" w:name="_Toc21861_WPSOffice_Level3"/>
      <w:bookmarkStart w:id="136" w:name="_Toc80805979"/>
      <w:bookmarkStart w:id="137" w:name="_Toc81232254"/>
      <w:bookmarkStart w:id="138" w:name="_Toc80815015"/>
      <w:r>
        <w:rPr>
          <w:rFonts w:eastAsia="楷体" w:cs="Times New Roman"/>
          <w:color w:val="000000"/>
          <w:sz w:val="32"/>
          <w:szCs w:val="32"/>
        </w:rPr>
        <w:tab/>
      </w:r>
    </w:p>
    <w:p>
      <w:pPr>
        <w:pStyle w:val="2"/>
        <w:tabs>
          <w:tab w:val="left" w:pos="2696"/>
        </w:tabs>
        <w:spacing w:before="173"/>
        <w:rPr>
          <w:rFonts w:hint="eastAsia"/>
        </w:rPr>
      </w:pPr>
      <w:r>
        <w:tab/>
      </w:r>
    </w:p>
    <w:p>
      <w:pPr>
        <w:spacing w:line="600" w:lineRule="exact"/>
        <w:ind w:firstLine="640" w:firstLineChars="200"/>
        <w:outlineLvl w:val="2"/>
        <w:rPr>
          <w:rFonts w:eastAsia="楷体" w:cs="Times New Roman"/>
          <w:color w:val="000000"/>
          <w:sz w:val="32"/>
          <w:szCs w:val="32"/>
        </w:rPr>
      </w:pPr>
      <w:r>
        <w:rPr>
          <w:rFonts w:eastAsia="楷体" w:cs="Times New Roman"/>
          <w:color w:val="000000"/>
          <w:sz w:val="32"/>
          <w:szCs w:val="32"/>
        </w:rPr>
        <w:t>（三）一般公共预算财政拨款支出决算具体情况</w:t>
      </w:r>
      <w:bookmarkEnd w:id="126"/>
      <w:bookmarkEnd w:id="127"/>
      <w:bookmarkEnd w:id="128"/>
      <w:bookmarkEnd w:id="129"/>
      <w:bookmarkEnd w:id="130"/>
      <w:bookmarkEnd w:id="131"/>
      <w:bookmarkEnd w:id="132"/>
      <w:bookmarkEnd w:id="133"/>
      <w:bookmarkEnd w:id="134"/>
      <w:bookmarkEnd w:id="135"/>
      <w:bookmarkEnd w:id="136"/>
      <w:bookmarkEnd w:id="137"/>
      <w:bookmarkEnd w:id="138"/>
    </w:p>
    <w:p>
      <w:pPr>
        <w:spacing w:line="600" w:lineRule="exact"/>
        <w:ind w:firstLine="640" w:firstLineChars="200"/>
        <w:outlineLvl w:val="2"/>
        <w:rPr>
          <w:rFonts w:eastAsia="方正仿宋简体" w:cs="Times New Roman"/>
          <w:color w:val="000000"/>
          <w:sz w:val="32"/>
          <w:szCs w:val="32"/>
        </w:rPr>
      </w:pPr>
      <w:bookmarkStart w:id="139" w:name="_Toc80805980"/>
      <w:bookmarkStart w:id="140" w:name="_Toc15378460"/>
      <w:bookmarkStart w:id="141" w:name="_Toc80806113"/>
      <w:bookmarkStart w:id="142" w:name="_Toc81232255"/>
      <w:bookmarkStart w:id="143" w:name="_Toc80815016"/>
      <w:bookmarkStart w:id="144" w:name="_Toc15377444"/>
      <w:bookmarkStart w:id="145" w:name="_Toc15377213"/>
      <w:r>
        <w:rPr>
          <w:rFonts w:eastAsia="方正仿宋简体" w:cs="Times New Roman"/>
          <w:color w:val="000000"/>
          <w:sz w:val="32"/>
          <w:szCs w:val="32"/>
        </w:rPr>
        <w:t>2020年一般公共预算支出决算数为</w:t>
      </w:r>
      <w:r>
        <w:rPr>
          <w:rFonts w:hint="eastAsia" w:eastAsia="方正仿宋简体" w:cs="Times New Roman"/>
          <w:color w:val="000000"/>
          <w:sz w:val="32"/>
          <w:szCs w:val="32"/>
        </w:rPr>
        <w:t>185.13</w:t>
      </w:r>
      <w:r>
        <w:rPr>
          <w:rFonts w:eastAsia="方正仿宋简体" w:cs="Times New Roman"/>
          <w:color w:val="000000"/>
          <w:sz w:val="32"/>
          <w:szCs w:val="32"/>
        </w:rPr>
        <w:t>万元，</w:t>
      </w:r>
      <w:r>
        <w:rPr>
          <w:rStyle w:val="15"/>
          <w:rFonts w:eastAsia="方正仿宋简体" w:cs="Times New Roman"/>
          <w:b w:val="0"/>
          <w:bCs/>
          <w:color w:val="000000"/>
          <w:sz w:val="32"/>
          <w:szCs w:val="32"/>
        </w:rPr>
        <w:t>完成预算9</w:t>
      </w:r>
      <w:r>
        <w:rPr>
          <w:rStyle w:val="15"/>
          <w:rFonts w:hint="eastAsia" w:eastAsia="方正仿宋简体" w:cs="Times New Roman"/>
          <w:b w:val="0"/>
          <w:bCs/>
          <w:color w:val="000000"/>
          <w:sz w:val="32"/>
          <w:szCs w:val="32"/>
        </w:rPr>
        <w:t>1.25</w:t>
      </w:r>
      <w:r>
        <w:rPr>
          <w:rStyle w:val="15"/>
          <w:rFonts w:eastAsia="方正仿宋简体" w:cs="Times New Roman"/>
          <w:b w:val="0"/>
          <w:bCs/>
          <w:color w:val="000000"/>
          <w:sz w:val="32"/>
          <w:szCs w:val="32"/>
        </w:rPr>
        <w:t>%。其中：</w:t>
      </w:r>
      <w:bookmarkEnd w:id="139"/>
      <w:bookmarkEnd w:id="140"/>
      <w:bookmarkEnd w:id="141"/>
      <w:bookmarkEnd w:id="142"/>
      <w:bookmarkEnd w:id="143"/>
      <w:bookmarkEnd w:id="144"/>
      <w:bookmarkEnd w:id="145"/>
    </w:p>
    <w:p>
      <w:pPr>
        <w:spacing w:line="600" w:lineRule="exact"/>
        <w:ind w:firstLine="640" w:firstLineChars="200"/>
        <w:rPr>
          <w:rFonts w:eastAsia="方正仿宋简体" w:cs="Times New Roman"/>
          <w:color w:val="000000"/>
          <w:sz w:val="32"/>
          <w:szCs w:val="32"/>
        </w:rPr>
      </w:pPr>
      <w:r>
        <w:rPr>
          <w:rStyle w:val="15"/>
          <w:rFonts w:eastAsia="方正仿宋简体" w:cs="Times New Roman"/>
          <w:b w:val="0"/>
          <w:color w:val="000000"/>
          <w:sz w:val="32"/>
          <w:szCs w:val="32"/>
        </w:rPr>
        <w:t>1.一般公共服务（</w:t>
      </w:r>
      <w:r>
        <w:rPr>
          <w:rStyle w:val="15"/>
          <w:rFonts w:hint="eastAsia" w:eastAsia="方正仿宋简体" w:cs="Times New Roman"/>
          <w:b w:val="0"/>
          <w:color w:val="000000"/>
          <w:sz w:val="32"/>
          <w:szCs w:val="32"/>
        </w:rPr>
        <w:t>类</w:t>
      </w:r>
      <w:r>
        <w:rPr>
          <w:rStyle w:val="15"/>
          <w:rFonts w:eastAsia="方正仿宋简体" w:cs="Times New Roman"/>
          <w:b w:val="0"/>
          <w:color w:val="000000"/>
          <w:sz w:val="32"/>
          <w:szCs w:val="32"/>
        </w:rPr>
        <w:t>）党委办公厅（室）及相关机构事务（</w:t>
      </w:r>
      <w:r>
        <w:rPr>
          <w:rStyle w:val="15"/>
          <w:rFonts w:hint="eastAsia" w:eastAsia="方正仿宋简体" w:cs="Times New Roman"/>
          <w:b w:val="0"/>
          <w:color w:val="000000"/>
          <w:sz w:val="32"/>
          <w:szCs w:val="32"/>
        </w:rPr>
        <w:t>款</w:t>
      </w:r>
      <w:r>
        <w:rPr>
          <w:rStyle w:val="15"/>
          <w:rFonts w:eastAsia="方正仿宋简体" w:cs="Times New Roman"/>
          <w:b w:val="0"/>
          <w:color w:val="000000"/>
          <w:sz w:val="32"/>
          <w:szCs w:val="32"/>
        </w:rPr>
        <w:t>）行政运行（</w:t>
      </w:r>
      <w:r>
        <w:rPr>
          <w:rStyle w:val="15"/>
          <w:rFonts w:hint="eastAsia" w:eastAsia="方正仿宋简体" w:cs="Times New Roman"/>
          <w:b w:val="0"/>
          <w:color w:val="000000"/>
          <w:sz w:val="32"/>
          <w:szCs w:val="32"/>
        </w:rPr>
        <w:t>项</w:t>
      </w:r>
      <w:r>
        <w:rPr>
          <w:rStyle w:val="15"/>
          <w:rFonts w:eastAsia="方正仿宋简体" w:cs="Times New Roman"/>
          <w:b w:val="0"/>
          <w:color w:val="000000"/>
          <w:sz w:val="32"/>
          <w:szCs w:val="32"/>
        </w:rPr>
        <w:t>）：</w:t>
      </w:r>
      <w:r>
        <w:rPr>
          <w:rFonts w:eastAsia="方正仿宋简体" w:cs="Times New Roman"/>
          <w:color w:val="000000"/>
          <w:sz w:val="32"/>
          <w:szCs w:val="32"/>
        </w:rPr>
        <w:t>2020年决算数为</w:t>
      </w:r>
      <w:r>
        <w:rPr>
          <w:rFonts w:hint="eastAsia" w:eastAsia="方正仿宋简体" w:cs="Times New Roman"/>
          <w:color w:val="000000"/>
          <w:sz w:val="32"/>
          <w:szCs w:val="32"/>
        </w:rPr>
        <w:t>106.35</w:t>
      </w:r>
      <w:r>
        <w:rPr>
          <w:rFonts w:eastAsia="方正仿宋简体" w:cs="Times New Roman"/>
          <w:color w:val="000000"/>
          <w:sz w:val="32"/>
          <w:szCs w:val="32"/>
        </w:rPr>
        <w:t>万元，完成预算9</w:t>
      </w:r>
      <w:r>
        <w:rPr>
          <w:rFonts w:hint="eastAsia" w:eastAsia="方正仿宋简体" w:cs="Times New Roman"/>
          <w:color w:val="000000"/>
          <w:sz w:val="32"/>
          <w:szCs w:val="32"/>
        </w:rPr>
        <w:t>4.64</w:t>
      </w:r>
      <w:r>
        <w:rPr>
          <w:rFonts w:eastAsia="方正仿宋简体" w:cs="Times New Roman"/>
          <w:color w:val="000000"/>
          <w:sz w:val="32"/>
          <w:szCs w:val="32"/>
        </w:rPr>
        <w:t>%，</w:t>
      </w:r>
      <w:r>
        <w:rPr>
          <w:rStyle w:val="15"/>
          <w:rFonts w:eastAsia="方正仿宋简体" w:cs="Times New Roman"/>
          <w:b w:val="0"/>
          <w:bCs/>
          <w:color w:val="000000"/>
          <w:sz w:val="32"/>
          <w:szCs w:val="32"/>
        </w:rPr>
        <w:t>决算数小于预算数的主要原因是积极贯彻落实中央八项规定及省委省政府十项规定要求，加强行政单位日常经费管理</w:t>
      </w:r>
      <w:r>
        <w:rPr>
          <w:rFonts w:eastAsia="方正仿宋简体" w:cs="Times New Roman"/>
          <w:color w:val="000000"/>
          <w:sz w:val="32"/>
          <w:szCs w:val="32"/>
        </w:rPr>
        <w:t>。</w:t>
      </w:r>
    </w:p>
    <w:p>
      <w:pPr>
        <w:spacing w:line="580" w:lineRule="exact"/>
        <w:ind w:firstLine="640" w:firstLineChars="200"/>
        <w:rPr>
          <w:rFonts w:hint="eastAsia" w:eastAsia="方正仿宋简体" w:cs="Times New Roman"/>
          <w:color w:val="000000"/>
          <w:sz w:val="32"/>
          <w:szCs w:val="32"/>
        </w:rPr>
      </w:pPr>
      <w:r>
        <w:rPr>
          <w:rStyle w:val="15"/>
          <w:rFonts w:hint="eastAsia" w:eastAsia="方正仿宋简体" w:cs="Times New Roman"/>
          <w:b w:val="0"/>
          <w:color w:val="000000"/>
          <w:sz w:val="32"/>
          <w:szCs w:val="32"/>
        </w:rPr>
        <w:t>2</w:t>
      </w:r>
      <w:r>
        <w:rPr>
          <w:rStyle w:val="15"/>
          <w:rFonts w:eastAsia="方正仿宋简体" w:cs="Times New Roman"/>
          <w:b w:val="0"/>
          <w:color w:val="000000"/>
          <w:sz w:val="32"/>
          <w:szCs w:val="32"/>
        </w:rPr>
        <w:t>.一般公共服务（</w:t>
      </w:r>
      <w:r>
        <w:rPr>
          <w:rStyle w:val="15"/>
          <w:rFonts w:hint="eastAsia" w:eastAsia="方正仿宋简体" w:cs="Times New Roman"/>
          <w:b w:val="0"/>
          <w:color w:val="000000"/>
          <w:sz w:val="32"/>
          <w:szCs w:val="32"/>
        </w:rPr>
        <w:t>类</w:t>
      </w:r>
      <w:r>
        <w:rPr>
          <w:rStyle w:val="15"/>
          <w:rFonts w:eastAsia="方正仿宋简体" w:cs="Times New Roman"/>
          <w:b w:val="0"/>
          <w:color w:val="000000"/>
          <w:sz w:val="32"/>
          <w:szCs w:val="32"/>
        </w:rPr>
        <w:t>）党委办公厅（室）及相关机构事务（</w:t>
      </w:r>
      <w:r>
        <w:rPr>
          <w:rStyle w:val="15"/>
          <w:rFonts w:hint="eastAsia" w:eastAsia="方正仿宋简体" w:cs="Times New Roman"/>
          <w:b w:val="0"/>
          <w:color w:val="000000"/>
          <w:sz w:val="32"/>
          <w:szCs w:val="32"/>
        </w:rPr>
        <w:t>款</w:t>
      </w:r>
      <w:r>
        <w:rPr>
          <w:rStyle w:val="15"/>
          <w:rFonts w:eastAsia="方正仿宋简体" w:cs="Times New Roman"/>
          <w:b w:val="0"/>
          <w:color w:val="000000"/>
          <w:sz w:val="32"/>
          <w:szCs w:val="32"/>
        </w:rPr>
        <w:t>）一般行政管理事务（</w:t>
      </w:r>
      <w:r>
        <w:rPr>
          <w:rStyle w:val="15"/>
          <w:rFonts w:hint="eastAsia" w:eastAsia="方正仿宋简体" w:cs="Times New Roman"/>
          <w:b w:val="0"/>
          <w:color w:val="000000"/>
          <w:sz w:val="32"/>
          <w:szCs w:val="32"/>
        </w:rPr>
        <w:t>项</w:t>
      </w:r>
      <w:r>
        <w:rPr>
          <w:rStyle w:val="15"/>
          <w:rFonts w:eastAsia="方正仿宋简体" w:cs="Times New Roman"/>
          <w:b w:val="0"/>
          <w:color w:val="000000"/>
          <w:sz w:val="32"/>
          <w:szCs w:val="32"/>
        </w:rPr>
        <w:t>）：</w:t>
      </w:r>
      <w:r>
        <w:rPr>
          <w:rFonts w:eastAsia="方正仿宋简体" w:cs="Times New Roman"/>
          <w:color w:val="000000"/>
          <w:sz w:val="32"/>
          <w:szCs w:val="32"/>
        </w:rPr>
        <w:t>2020年决算数为</w:t>
      </w:r>
      <w:r>
        <w:rPr>
          <w:rFonts w:hint="eastAsia" w:eastAsia="方正仿宋简体" w:cs="Times New Roman"/>
          <w:color w:val="000000"/>
          <w:sz w:val="32"/>
          <w:szCs w:val="32"/>
        </w:rPr>
        <w:t>29.13</w:t>
      </w:r>
      <w:r>
        <w:rPr>
          <w:rFonts w:eastAsia="方正仿宋简体" w:cs="Times New Roman"/>
          <w:color w:val="000000"/>
          <w:sz w:val="32"/>
          <w:szCs w:val="32"/>
        </w:rPr>
        <w:t>万元，完成预算</w:t>
      </w:r>
      <w:r>
        <w:rPr>
          <w:rFonts w:hint="eastAsia" w:eastAsia="方正仿宋简体" w:cs="Times New Roman"/>
          <w:color w:val="000000"/>
          <w:sz w:val="32"/>
          <w:szCs w:val="32"/>
        </w:rPr>
        <w:t>94.27</w:t>
      </w:r>
      <w:r>
        <w:rPr>
          <w:rFonts w:eastAsia="方正仿宋简体" w:cs="Times New Roman"/>
          <w:color w:val="000000"/>
          <w:sz w:val="32"/>
          <w:szCs w:val="32"/>
        </w:rPr>
        <w:t>%，</w:t>
      </w:r>
      <w:r>
        <w:rPr>
          <w:rStyle w:val="15"/>
          <w:rFonts w:eastAsia="方正仿宋简体" w:cs="Times New Roman"/>
          <w:b w:val="0"/>
          <w:bCs/>
          <w:color w:val="000000"/>
          <w:sz w:val="32"/>
          <w:szCs w:val="32"/>
        </w:rPr>
        <w:t>决算数小于预算数的主要原因是积极贯彻落实中央八项规定及省委省政府十项规定要求，加强单位</w:t>
      </w:r>
      <w:r>
        <w:rPr>
          <w:rStyle w:val="15"/>
          <w:rFonts w:hint="eastAsia" w:eastAsia="方正仿宋简体" w:cs="Times New Roman"/>
          <w:b w:val="0"/>
          <w:bCs/>
          <w:color w:val="000000"/>
          <w:sz w:val="32"/>
          <w:szCs w:val="32"/>
        </w:rPr>
        <w:t>项目支出</w:t>
      </w:r>
      <w:r>
        <w:rPr>
          <w:rStyle w:val="15"/>
          <w:rFonts w:eastAsia="方正仿宋简体" w:cs="Times New Roman"/>
          <w:b w:val="0"/>
          <w:bCs/>
          <w:color w:val="000000"/>
          <w:sz w:val="32"/>
          <w:szCs w:val="32"/>
        </w:rPr>
        <w:t>管理</w:t>
      </w:r>
      <w:r>
        <w:rPr>
          <w:rFonts w:eastAsia="方正仿宋简体" w:cs="Times New Roman"/>
          <w:color w:val="000000"/>
          <w:sz w:val="32"/>
          <w:szCs w:val="32"/>
        </w:rPr>
        <w:t>。</w:t>
      </w:r>
    </w:p>
    <w:p>
      <w:pPr>
        <w:spacing w:line="580" w:lineRule="exact"/>
        <w:ind w:firstLine="640" w:firstLineChars="200"/>
        <w:rPr>
          <w:rFonts w:eastAsia="方正仿宋简体" w:cs="Times New Roman"/>
          <w:color w:val="000000"/>
          <w:sz w:val="32"/>
          <w:szCs w:val="32"/>
        </w:rPr>
      </w:pPr>
      <w:r>
        <w:rPr>
          <w:rStyle w:val="15"/>
          <w:rFonts w:hint="eastAsia" w:eastAsia="方正仿宋简体" w:cs="Times New Roman"/>
          <w:b w:val="0"/>
          <w:color w:val="000000"/>
          <w:sz w:val="32"/>
          <w:szCs w:val="32"/>
        </w:rPr>
        <w:t>3</w:t>
      </w:r>
      <w:r>
        <w:rPr>
          <w:rStyle w:val="15"/>
          <w:rFonts w:eastAsia="方正仿宋简体" w:cs="Times New Roman"/>
          <w:b w:val="0"/>
          <w:color w:val="000000"/>
          <w:sz w:val="32"/>
          <w:szCs w:val="32"/>
        </w:rPr>
        <w:t>.教育支出（</w:t>
      </w:r>
      <w:r>
        <w:rPr>
          <w:rStyle w:val="15"/>
          <w:rFonts w:hint="eastAsia" w:eastAsia="方正仿宋简体" w:cs="Times New Roman"/>
          <w:b w:val="0"/>
          <w:color w:val="000000"/>
          <w:sz w:val="32"/>
          <w:szCs w:val="32"/>
        </w:rPr>
        <w:t>类</w:t>
      </w:r>
      <w:r>
        <w:rPr>
          <w:rStyle w:val="15"/>
          <w:rFonts w:eastAsia="方正仿宋简体" w:cs="Times New Roman"/>
          <w:b w:val="0"/>
          <w:color w:val="000000"/>
          <w:sz w:val="32"/>
          <w:szCs w:val="32"/>
        </w:rPr>
        <w:t>）进修及培训（</w:t>
      </w:r>
      <w:r>
        <w:rPr>
          <w:rStyle w:val="15"/>
          <w:rFonts w:hint="eastAsia" w:eastAsia="方正仿宋简体" w:cs="Times New Roman"/>
          <w:b w:val="0"/>
          <w:color w:val="000000"/>
          <w:sz w:val="32"/>
          <w:szCs w:val="32"/>
        </w:rPr>
        <w:t>款</w:t>
      </w:r>
      <w:r>
        <w:rPr>
          <w:rStyle w:val="15"/>
          <w:rFonts w:eastAsia="方正仿宋简体" w:cs="Times New Roman"/>
          <w:b w:val="0"/>
          <w:color w:val="000000"/>
          <w:sz w:val="32"/>
          <w:szCs w:val="32"/>
        </w:rPr>
        <w:t>）培训支出（</w:t>
      </w:r>
      <w:r>
        <w:rPr>
          <w:rStyle w:val="15"/>
          <w:rFonts w:hint="eastAsia" w:eastAsia="方正仿宋简体" w:cs="Times New Roman"/>
          <w:b w:val="0"/>
          <w:color w:val="000000"/>
          <w:sz w:val="32"/>
          <w:szCs w:val="32"/>
        </w:rPr>
        <w:t>项</w:t>
      </w:r>
      <w:r>
        <w:rPr>
          <w:rStyle w:val="15"/>
          <w:rFonts w:eastAsia="方正仿宋简体" w:cs="Times New Roman"/>
          <w:b w:val="0"/>
          <w:color w:val="000000"/>
          <w:sz w:val="32"/>
          <w:szCs w:val="32"/>
        </w:rPr>
        <w:t>）：</w:t>
      </w:r>
      <w:r>
        <w:rPr>
          <w:rFonts w:eastAsia="方正仿宋简体" w:cs="Times New Roman"/>
          <w:color w:val="000000"/>
          <w:sz w:val="32"/>
          <w:szCs w:val="32"/>
        </w:rPr>
        <w:t>2020年决算数为</w:t>
      </w:r>
      <w:r>
        <w:rPr>
          <w:rFonts w:hint="eastAsia" w:eastAsia="方正仿宋简体" w:cs="Times New Roman"/>
          <w:color w:val="000000"/>
          <w:sz w:val="32"/>
          <w:szCs w:val="32"/>
        </w:rPr>
        <w:t>2.45</w:t>
      </w:r>
      <w:r>
        <w:rPr>
          <w:rFonts w:eastAsia="方正仿宋简体" w:cs="Times New Roman"/>
          <w:color w:val="000000"/>
          <w:sz w:val="32"/>
          <w:szCs w:val="32"/>
        </w:rPr>
        <w:t>万元，完成预算</w:t>
      </w:r>
      <w:r>
        <w:rPr>
          <w:rFonts w:hint="eastAsia" w:eastAsia="方正仿宋简体" w:cs="Times New Roman"/>
          <w:color w:val="000000"/>
          <w:sz w:val="32"/>
          <w:szCs w:val="32"/>
        </w:rPr>
        <w:t>98.00</w:t>
      </w:r>
      <w:r>
        <w:rPr>
          <w:rFonts w:eastAsia="方正仿宋简体" w:cs="Times New Roman"/>
          <w:color w:val="000000"/>
          <w:sz w:val="32"/>
          <w:szCs w:val="32"/>
        </w:rPr>
        <w:t>%，</w:t>
      </w:r>
      <w:r>
        <w:rPr>
          <w:rStyle w:val="15"/>
          <w:rFonts w:eastAsia="方正仿宋简体" w:cs="Times New Roman"/>
          <w:b w:val="0"/>
          <w:bCs/>
          <w:color w:val="000000"/>
          <w:sz w:val="32"/>
          <w:szCs w:val="32"/>
        </w:rPr>
        <w:t>决算数小于预算数的主要原因是积极贯彻落实中央八项规定及省委省政府十项规定要求，加强培训经费管理</w:t>
      </w:r>
      <w:r>
        <w:rPr>
          <w:rFonts w:eastAsia="方正仿宋简体" w:cs="Times New Roman"/>
          <w:color w:val="000000"/>
          <w:sz w:val="32"/>
          <w:szCs w:val="32"/>
        </w:rPr>
        <w:t>。</w:t>
      </w:r>
    </w:p>
    <w:p>
      <w:pPr>
        <w:spacing w:line="580" w:lineRule="exact"/>
        <w:ind w:firstLine="640" w:firstLineChars="200"/>
        <w:rPr>
          <w:rStyle w:val="15"/>
          <w:rFonts w:hint="eastAsia" w:eastAsia="方正仿宋简体" w:cs="Times New Roman"/>
          <w:b w:val="0"/>
          <w:bCs/>
          <w:color w:val="000000"/>
          <w:sz w:val="32"/>
          <w:szCs w:val="32"/>
        </w:rPr>
      </w:pPr>
      <w:r>
        <w:rPr>
          <w:rStyle w:val="15"/>
          <w:rFonts w:hint="eastAsia" w:eastAsia="方正仿宋简体" w:cs="Times New Roman"/>
          <w:b w:val="0"/>
          <w:color w:val="000000"/>
          <w:sz w:val="32"/>
          <w:szCs w:val="32"/>
        </w:rPr>
        <w:t>4</w:t>
      </w:r>
      <w:r>
        <w:rPr>
          <w:rStyle w:val="15"/>
          <w:rFonts w:eastAsia="方正仿宋简体" w:cs="Times New Roman"/>
          <w:b w:val="0"/>
          <w:color w:val="000000"/>
          <w:sz w:val="32"/>
          <w:szCs w:val="32"/>
        </w:rPr>
        <w:t>.社会保障和就业（</w:t>
      </w:r>
      <w:r>
        <w:rPr>
          <w:rStyle w:val="15"/>
          <w:rFonts w:hint="eastAsia" w:eastAsia="方正仿宋简体" w:cs="Times New Roman"/>
          <w:b w:val="0"/>
          <w:color w:val="000000"/>
          <w:sz w:val="32"/>
          <w:szCs w:val="32"/>
        </w:rPr>
        <w:t>类</w:t>
      </w:r>
      <w:r>
        <w:rPr>
          <w:rStyle w:val="15"/>
          <w:rFonts w:eastAsia="方正仿宋简体" w:cs="Times New Roman"/>
          <w:b w:val="0"/>
          <w:color w:val="000000"/>
          <w:sz w:val="32"/>
          <w:szCs w:val="32"/>
        </w:rPr>
        <w:t>）行政事业单位养老支出（</w:t>
      </w:r>
      <w:r>
        <w:rPr>
          <w:rStyle w:val="15"/>
          <w:rFonts w:hint="eastAsia" w:eastAsia="方正仿宋简体" w:cs="Times New Roman"/>
          <w:b w:val="0"/>
          <w:color w:val="000000"/>
          <w:sz w:val="32"/>
          <w:szCs w:val="32"/>
        </w:rPr>
        <w:t>款</w:t>
      </w:r>
      <w:r>
        <w:rPr>
          <w:rStyle w:val="15"/>
          <w:rFonts w:eastAsia="方正仿宋简体" w:cs="Times New Roman"/>
          <w:b w:val="0"/>
          <w:color w:val="000000"/>
          <w:sz w:val="32"/>
          <w:szCs w:val="32"/>
        </w:rPr>
        <w:t>）机关事业单位基本养老保险缴费支出（</w:t>
      </w:r>
      <w:r>
        <w:rPr>
          <w:rStyle w:val="15"/>
          <w:rFonts w:hint="eastAsia" w:eastAsia="方正仿宋简体" w:cs="Times New Roman"/>
          <w:b w:val="0"/>
          <w:color w:val="000000"/>
          <w:sz w:val="32"/>
          <w:szCs w:val="32"/>
        </w:rPr>
        <w:t>项</w:t>
      </w:r>
      <w:r>
        <w:rPr>
          <w:rStyle w:val="15"/>
          <w:rFonts w:eastAsia="方正仿宋简体" w:cs="Times New Roman"/>
          <w:b w:val="0"/>
          <w:color w:val="000000"/>
          <w:sz w:val="32"/>
          <w:szCs w:val="32"/>
        </w:rPr>
        <w:t>）：</w:t>
      </w:r>
      <w:r>
        <w:rPr>
          <w:rFonts w:eastAsia="方正仿宋简体" w:cs="Times New Roman"/>
          <w:color w:val="000000"/>
          <w:sz w:val="32"/>
          <w:szCs w:val="32"/>
        </w:rPr>
        <w:t>2020年决算数为</w:t>
      </w:r>
      <w:r>
        <w:rPr>
          <w:rFonts w:hint="eastAsia" w:eastAsia="方正仿宋简体" w:cs="Times New Roman"/>
          <w:color w:val="000000"/>
          <w:sz w:val="32"/>
          <w:szCs w:val="32"/>
        </w:rPr>
        <w:t>8.72</w:t>
      </w:r>
      <w:r>
        <w:rPr>
          <w:rFonts w:eastAsia="方正仿宋简体" w:cs="Times New Roman"/>
          <w:color w:val="000000"/>
          <w:sz w:val="32"/>
          <w:szCs w:val="32"/>
        </w:rPr>
        <w:t>万元，完成预算</w:t>
      </w:r>
      <w:r>
        <w:rPr>
          <w:rFonts w:hint="eastAsia" w:eastAsia="方正仿宋简体" w:cs="Times New Roman"/>
          <w:color w:val="000000"/>
          <w:sz w:val="32"/>
          <w:szCs w:val="32"/>
        </w:rPr>
        <w:t>85.07</w:t>
      </w:r>
      <w:r>
        <w:rPr>
          <w:rFonts w:eastAsia="方正仿宋简体" w:cs="Times New Roman"/>
          <w:color w:val="000000"/>
          <w:sz w:val="32"/>
          <w:szCs w:val="32"/>
        </w:rPr>
        <w:t>%，</w:t>
      </w:r>
      <w:r>
        <w:rPr>
          <w:rStyle w:val="15"/>
          <w:rFonts w:eastAsia="方正仿宋简体" w:cs="Times New Roman"/>
          <w:b w:val="0"/>
          <w:bCs/>
          <w:color w:val="000000"/>
          <w:sz w:val="32"/>
          <w:szCs w:val="32"/>
        </w:rPr>
        <w:t>决算数小于预算数的主要原因是人员略有变动，预算资金有结余。</w:t>
      </w:r>
    </w:p>
    <w:p>
      <w:pPr>
        <w:spacing w:line="580" w:lineRule="exact"/>
        <w:ind w:firstLine="640" w:firstLineChars="200"/>
        <w:rPr>
          <w:rFonts w:eastAsia="方正仿宋简体" w:cs="Times New Roman"/>
          <w:color w:val="000000"/>
          <w:sz w:val="32"/>
          <w:szCs w:val="32"/>
        </w:rPr>
      </w:pPr>
      <w:r>
        <w:rPr>
          <w:rFonts w:hint="eastAsia" w:eastAsia="方正仿宋简体" w:cs="Times New Roman"/>
          <w:sz w:val="32"/>
          <w:szCs w:val="32"/>
        </w:rPr>
        <w:t>5</w:t>
      </w:r>
      <w:r>
        <w:rPr>
          <w:rFonts w:eastAsia="方正仿宋简体" w:cs="Times New Roman"/>
          <w:sz w:val="32"/>
          <w:szCs w:val="32"/>
        </w:rPr>
        <w:t>.</w:t>
      </w:r>
      <w:r>
        <w:rPr>
          <w:rStyle w:val="15"/>
          <w:rFonts w:eastAsia="方正仿宋简体" w:cs="Times New Roman"/>
          <w:b w:val="0"/>
          <w:color w:val="000000"/>
          <w:sz w:val="32"/>
          <w:szCs w:val="32"/>
        </w:rPr>
        <w:t>卫生健康支出（</w:t>
      </w:r>
      <w:r>
        <w:rPr>
          <w:rStyle w:val="15"/>
          <w:rFonts w:hint="eastAsia" w:eastAsia="方正仿宋简体" w:cs="Times New Roman"/>
          <w:b w:val="0"/>
          <w:color w:val="000000"/>
          <w:sz w:val="32"/>
          <w:szCs w:val="32"/>
        </w:rPr>
        <w:t>类</w:t>
      </w:r>
      <w:r>
        <w:rPr>
          <w:rStyle w:val="15"/>
          <w:rFonts w:eastAsia="方正仿宋简体" w:cs="Times New Roman"/>
          <w:b w:val="0"/>
          <w:color w:val="000000"/>
          <w:sz w:val="32"/>
          <w:szCs w:val="32"/>
        </w:rPr>
        <w:t>）行政事业单位医疗（</w:t>
      </w:r>
      <w:r>
        <w:rPr>
          <w:rStyle w:val="15"/>
          <w:rFonts w:hint="eastAsia" w:eastAsia="方正仿宋简体" w:cs="Times New Roman"/>
          <w:b w:val="0"/>
          <w:color w:val="000000"/>
          <w:sz w:val="32"/>
          <w:szCs w:val="32"/>
        </w:rPr>
        <w:t>款</w:t>
      </w:r>
      <w:r>
        <w:rPr>
          <w:rStyle w:val="15"/>
          <w:rFonts w:eastAsia="方正仿宋简体" w:cs="Times New Roman"/>
          <w:b w:val="0"/>
          <w:color w:val="000000"/>
          <w:sz w:val="32"/>
          <w:szCs w:val="32"/>
        </w:rPr>
        <w:t>）行政单位医疗（</w:t>
      </w:r>
      <w:r>
        <w:rPr>
          <w:rStyle w:val="15"/>
          <w:rFonts w:hint="eastAsia" w:eastAsia="方正仿宋简体" w:cs="Times New Roman"/>
          <w:b w:val="0"/>
          <w:color w:val="000000"/>
          <w:sz w:val="32"/>
          <w:szCs w:val="32"/>
        </w:rPr>
        <w:t>项</w:t>
      </w:r>
      <w:r>
        <w:rPr>
          <w:rStyle w:val="15"/>
          <w:rFonts w:eastAsia="方正仿宋简体" w:cs="Times New Roman"/>
          <w:b w:val="0"/>
          <w:color w:val="000000"/>
          <w:sz w:val="32"/>
          <w:szCs w:val="32"/>
        </w:rPr>
        <w:t>）：</w:t>
      </w:r>
      <w:r>
        <w:rPr>
          <w:rFonts w:eastAsia="方正仿宋简体" w:cs="Times New Roman"/>
          <w:color w:val="000000"/>
          <w:sz w:val="32"/>
          <w:szCs w:val="32"/>
        </w:rPr>
        <w:t>2020年决算数为6</w:t>
      </w:r>
      <w:r>
        <w:rPr>
          <w:rFonts w:hint="eastAsia" w:eastAsia="方正仿宋简体" w:cs="Times New Roman"/>
          <w:color w:val="000000"/>
          <w:sz w:val="32"/>
          <w:szCs w:val="32"/>
        </w:rPr>
        <w:t>.13</w:t>
      </w:r>
      <w:r>
        <w:rPr>
          <w:rFonts w:eastAsia="方正仿宋简体" w:cs="Times New Roman"/>
          <w:color w:val="000000"/>
          <w:sz w:val="32"/>
          <w:szCs w:val="32"/>
        </w:rPr>
        <w:t>万元，完成预算8</w:t>
      </w:r>
      <w:r>
        <w:rPr>
          <w:rFonts w:hint="eastAsia" w:eastAsia="方正仿宋简体" w:cs="Times New Roman"/>
          <w:color w:val="000000"/>
          <w:sz w:val="32"/>
          <w:szCs w:val="32"/>
        </w:rPr>
        <w:t>8.58</w:t>
      </w:r>
      <w:r>
        <w:rPr>
          <w:rFonts w:eastAsia="方正仿宋简体" w:cs="Times New Roman"/>
          <w:color w:val="000000"/>
          <w:sz w:val="32"/>
          <w:szCs w:val="32"/>
        </w:rPr>
        <w:t>%，</w:t>
      </w:r>
      <w:r>
        <w:rPr>
          <w:rStyle w:val="15"/>
          <w:rFonts w:eastAsia="方正仿宋简体" w:cs="Times New Roman"/>
          <w:b w:val="0"/>
          <w:bCs/>
          <w:color w:val="000000"/>
          <w:sz w:val="32"/>
          <w:szCs w:val="32"/>
        </w:rPr>
        <w:t>决算数小于预算数的主要原因是人员略有变动，预算资金有结余。</w:t>
      </w:r>
    </w:p>
    <w:p>
      <w:pPr>
        <w:spacing w:line="580" w:lineRule="exact"/>
        <w:ind w:firstLine="640" w:firstLineChars="200"/>
        <w:rPr>
          <w:rFonts w:eastAsia="方正仿宋简体" w:cs="Times New Roman"/>
          <w:color w:val="000000"/>
          <w:sz w:val="32"/>
          <w:szCs w:val="32"/>
        </w:rPr>
      </w:pPr>
      <w:r>
        <w:rPr>
          <w:rStyle w:val="15"/>
          <w:rFonts w:hint="eastAsia" w:eastAsia="方正仿宋简体" w:cs="Times New Roman"/>
          <w:b w:val="0"/>
          <w:color w:val="000000"/>
          <w:sz w:val="32"/>
          <w:szCs w:val="32"/>
        </w:rPr>
        <w:t>6</w:t>
      </w:r>
      <w:r>
        <w:rPr>
          <w:rStyle w:val="15"/>
          <w:rFonts w:eastAsia="方正仿宋简体" w:cs="Times New Roman"/>
          <w:b w:val="0"/>
          <w:color w:val="000000"/>
          <w:sz w:val="32"/>
          <w:szCs w:val="32"/>
        </w:rPr>
        <w:t>.卫生健康支出（</w:t>
      </w:r>
      <w:r>
        <w:rPr>
          <w:rStyle w:val="15"/>
          <w:rFonts w:hint="eastAsia" w:eastAsia="方正仿宋简体" w:cs="Times New Roman"/>
          <w:b w:val="0"/>
          <w:color w:val="000000"/>
          <w:sz w:val="32"/>
          <w:szCs w:val="32"/>
        </w:rPr>
        <w:t>类</w:t>
      </w:r>
      <w:r>
        <w:rPr>
          <w:rStyle w:val="15"/>
          <w:rFonts w:eastAsia="方正仿宋简体" w:cs="Times New Roman"/>
          <w:b w:val="0"/>
          <w:color w:val="000000"/>
          <w:sz w:val="32"/>
          <w:szCs w:val="32"/>
        </w:rPr>
        <w:t>）行政事业单位医疗（</w:t>
      </w:r>
      <w:r>
        <w:rPr>
          <w:rStyle w:val="15"/>
          <w:rFonts w:hint="eastAsia" w:eastAsia="方正仿宋简体" w:cs="Times New Roman"/>
          <w:b w:val="0"/>
          <w:color w:val="000000"/>
          <w:sz w:val="32"/>
          <w:szCs w:val="32"/>
        </w:rPr>
        <w:t>款</w:t>
      </w:r>
      <w:r>
        <w:rPr>
          <w:rStyle w:val="15"/>
          <w:rFonts w:eastAsia="方正仿宋简体" w:cs="Times New Roman"/>
          <w:b w:val="0"/>
          <w:color w:val="000000"/>
          <w:sz w:val="32"/>
          <w:szCs w:val="32"/>
        </w:rPr>
        <w:t>）公务员医疗补助（</w:t>
      </w:r>
      <w:r>
        <w:rPr>
          <w:rStyle w:val="15"/>
          <w:rFonts w:hint="eastAsia" w:eastAsia="方正仿宋简体" w:cs="Times New Roman"/>
          <w:b w:val="0"/>
          <w:color w:val="000000"/>
          <w:sz w:val="32"/>
          <w:szCs w:val="32"/>
        </w:rPr>
        <w:t>项</w:t>
      </w:r>
      <w:r>
        <w:rPr>
          <w:rStyle w:val="15"/>
          <w:rFonts w:eastAsia="方正仿宋简体" w:cs="Times New Roman"/>
          <w:b w:val="0"/>
          <w:color w:val="000000"/>
          <w:sz w:val="32"/>
          <w:szCs w:val="32"/>
        </w:rPr>
        <w:t>）：</w:t>
      </w:r>
      <w:r>
        <w:rPr>
          <w:rFonts w:eastAsia="方正仿宋简体" w:cs="Times New Roman"/>
          <w:color w:val="000000"/>
          <w:sz w:val="32"/>
          <w:szCs w:val="32"/>
        </w:rPr>
        <w:t>2020年决算数为1</w:t>
      </w:r>
      <w:r>
        <w:rPr>
          <w:rFonts w:hint="eastAsia" w:eastAsia="方正仿宋简体" w:cs="Times New Roman"/>
          <w:color w:val="000000"/>
          <w:sz w:val="32"/>
          <w:szCs w:val="32"/>
        </w:rPr>
        <w:t>.10</w:t>
      </w:r>
      <w:r>
        <w:rPr>
          <w:rFonts w:eastAsia="方正仿宋简体" w:cs="Times New Roman"/>
          <w:color w:val="000000"/>
          <w:sz w:val="32"/>
          <w:szCs w:val="32"/>
        </w:rPr>
        <w:t>万元，完成预算100%。</w:t>
      </w:r>
    </w:p>
    <w:p>
      <w:pPr>
        <w:spacing w:line="580" w:lineRule="exact"/>
        <w:ind w:firstLine="640" w:firstLineChars="200"/>
        <w:rPr>
          <w:rFonts w:eastAsia="方正仿宋简体" w:cs="Times New Roman"/>
          <w:color w:val="000000"/>
          <w:sz w:val="32"/>
          <w:szCs w:val="32"/>
        </w:rPr>
      </w:pPr>
      <w:r>
        <w:rPr>
          <w:rStyle w:val="15"/>
          <w:rFonts w:hint="eastAsia" w:eastAsia="方正仿宋简体" w:cs="Times New Roman"/>
          <w:b w:val="0"/>
          <w:color w:val="000000"/>
          <w:sz w:val="32"/>
          <w:szCs w:val="32"/>
        </w:rPr>
        <w:t>7</w:t>
      </w:r>
      <w:r>
        <w:rPr>
          <w:rStyle w:val="15"/>
          <w:rFonts w:eastAsia="方正仿宋简体" w:cs="Times New Roman"/>
          <w:b w:val="0"/>
          <w:color w:val="000000"/>
          <w:sz w:val="32"/>
          <w:szCs w:val="32"/>
        </w:rPr>
        <w:t>.住房保障支出（</w:t>
      </w:r>
      <w:r>
        <w:rPr>
          <w:rStyle w:val="15"/>
          <w:rFonts w:hint="eastAsia" w:eastAsia="方正仿宋简体" w:cs="Times New Roman"/>
          <w:b w:val="0"/>
          <w:color w:val="000000"/>
          <w:sz w:val="32"/>
          <w:szCs w:val="32"/>
        </w:rPr>
        <w:t>类</w:t>
      </w:r>
      <w:r>
        <w:rPr>
          <w:rStyle w:val="15"/>
          <w:rFonts w:eastAsia="方正仿宋简体" w:cs="Times New Roman"/>
          <w:b w:val="0"/>
          <w:color w:val="000000"/>
          <w:sz w:val="32"/>
          <w:szCs w:val="32"/>
        </w:rPr>
        <w:t>）住房改革支出（</w:t>
      </w:r>
      <w:r>
        <w:rPr>
          <w:rStyle w:val="15"/>
          <w:rFonts w:hint="eastAsia" w:eastAsia="方正仿宋简体" w:cs="Times New Roman"/>
          <w:b w:val="0"/>
          <w:color w:val="000000"/>
          <w:sz w:val="32"/>
          <w:szCs w:val="32"/>
        </w:rPr>
        <w:t>款</w:t>
      </w:r>
      <w:r>
        <w:rPr>
          <w:rStyle w:val="15"/>
          <w:rFonts w:eastAsia="方正仿宋简体" w:cs="Times New Roman"/>
          <w:b w:val="0"/>
          <w:color w:val="000000"/>
          <w:sz w:val="32"/>
          <w:szCs w:val="32"/>
        </w:rPr>
        <w:t>）住房公积金（</w:t>
      </w:r>
      <w:r>
        <w:rPr>
          <w:rStyle w:val="15"/>
          <w:rFonts w:hint="eastAsia" w:eastAsia="方正仿宋简体" w:cs="Times New Roman"/>
          <w:b w:val="0"/>
          <w:color w:val="000000"/>
          <w:sz w:val="32"/>
          <w:szCs w:val="32"/>
        </w:rPr>
        <w:t>项</w:t>
      </w:r>
      <w:r>
        <w:rPr>
          <w:rStyle w:val="15"/>
          <w:rFonts w:eastAsia="方正仿宋简体" w:cs="Times New Roman"/>
          <w:b w:val="0"/>
          <w:color w:val="000000"/>
          <w:sz w:val="32"/>
          <w:szCs w:val="32"/>
        </w:rPr>
        <w:t>）：</w:t>
      </w:r>
      <w:r>
        <w:rPr>
          <w:rFonts w:eastAsia="方正仿宋简体" w:cs="Times New Roman"/>
          <w:color w:val="000000"/>
          <w:sz w:val="32"/>
          <w:szCs w:val="32"/>
        </w:rPr>
        <w:t>2020年决算数为</w:t>
      </w:r>
      <w:r>
        <w:rPr>
          <w:rFonts w:hint="eastAsia" w:eastAsia="方正仿宋简体" w:cs="Times New Roman"/>
          <w:color w:val="000000"/>
          <w:sz w:val="32"/>
          <w:szCs w:val="32"/>
        </w:rPr>
        <w:t>9.23</w:t>
      </w:r>
      <w:r>
        <w:rPr>
          <w:rFonts w:eastAsia="方正仿宋简体" w:cs="Times New Roman"/>
          <w:color w:val="000000"/>
          <w:sz w:val="32"/>
          <w:szCs w:val="32"/>
        </w:rPr>
        <w:t>万元，完成预算</w:t>
      </w:r>
      <w:r>
        <w:rPr>
          <w:rFonts w:hint="eastAsia" w:eastAsia="方正仿宋简体" w:cs="Times New Roman"/>
          <w:color w:val="000000"/>
          <w:sz w:val="32"/>
          <w:szCs w:val="32"/>
        </w:rPr>
        <w:t>100</w:t>
      </w:r>
      <w:r>
        <w:rPr>
          <w:rFonts w:eastAsia="方正仿宋简体" w:cs="Times New Roman"/>
          <w:color w:val="000000"/>
          <w:sz w:val="32"/>
          <w:szCs w:val="32"/>
        </w:rPr>
        <w:t>%。</w:t>
      </w:r>
    </w:p>
    <w:p>
      <w:pPr>
        <w:spacing w:line="580" w:lineRule="exact"/>
        <w:ind w:firstLine="640" w:firstLineChars="200"/>
        <w:rPr>
          <w:rFonts w:eastAsia="方正仿宋简体" w:cs="Times New Roman"/>
          <w:color w:val="000000"/>
          <w:sz w:val="32"/>
          <w:szCs w:val="32"/>
        </w:rPr>
      </w:pPr>
      <w:r>
        <w:rPr>
          <w:rStyle w:val="15"/>
          <w:rFonts w:hint="eastAsia" w:eastAsia="方正仿宋简体" w:cs="Times New Roman"/>
          <w:b w:val="0"/>
          <w:color w:val="000000"/>
          <w:sz w:val="32"/>
          <w:szCs w:val="32"/>
        </w:rPr>
        <w:t>8</w:t>
      </w:r>
      <w:r>
        <w:rPr>
          <w:rStyle w:val="15"/>
          <w:rFonts w:eastAsia="方正仿宋简体" w:cs="Times New Roman"/>
          <w:b w:val="0"/>
          <w:color w:val="000000"/>
          <w:sz w:val="32"/>
          <w:szCs w:val="32"/>
        </w:rPr>
        <w:t>.住房保障支出（</w:t>
      </w:r>
      <w:r>
        <w:rPr>
          <w:rStyle w:val="15"/>
          <w:rFonts w:hint="eastAsia" w:eastAsia="方正仿宋简体" w:cs="Times New Roman"/>
          <w:b w:val="0"/>
          <w:color w:val="000000"/>
          <w:sz w:val="32"/>
          <w:szCs w:val="32"/>
        </w:rPr>
        <w:t>类</w:t>
      </w:r>
      <w:r>
        <w:rPr>
          <w:rStyle w:val="15"/>
          <w:rFonts w:eastAsia="方正仿宋简体" w:cs="Times New Roman"/>
          <w:b w:val="0"/>
          <w:color w:val="000000"/>
          <w:sz w:val="32"/>
          <w:szCs w:val="32"/>
        </w:rPr>
        <w:t>）住房改革支出（</w:t>
      </w:r>
      <w:r>
        <w:rPr>
          <w:rStyle w:val="15"/>
          <w:rFonts w:hint="eastAsia" w:eastAsia="方正仿宋简体" w:cs="Times New Roman"/>
          <w:b w:val="0"/>
          <w:color w:val="000000"/>
          <w:sz w:val="32"/>
          <w:szCs w:val="32"/>
        </w:rPr>
        <w:t>款</w:t>
      </w:r>
      <w:r>
        <w:rPr>
          <w:rStyle w:val="15"/>
          <w:rFonts w:eastAsia="方正仿宋简体" w:cs="Times New Roman"/>
          <w:b w:val="0"/>
          <w:color w:val="000000"/>
          <w:sz w:val="32"/>
          <w:szCs w:val="32"/>
        </w:rPr>
        <w:t>）购房补贴（</w:t>
      </w:r>
      <w:r>
        <w:rPr>
          <w:rStyle w:val="15"/>
          <w:rFonts w:hint="eastAsia" w:eastAsia="方正仿宋简体" w:cs="Times New Roman"/>
          <w:b w:val="0"/>
          <w:color w:val="000000"/>
          <w:sz w:val="32"/>
          <w:szCs w:val="32"/>
        </w:rPr>
        <w:t>项</w:t>
      </w:r>
      <w:r>
        <w:rPr>
          <w:rStyle w:val="15"/>
          <w:rFonts w:eastAsia="方正仿宋简体" w:cs="Times New Roman"/>
          <w:b w:val="0"/>
          <w:color w:val="000000"/>
          <w:sz w:val="32"/>
          <w:szCs w:val="32"/>
        </w:rPr>
        <w:t>）：</w:t>
      </w:r>
      <w:r>
        <w:rPr>
          <w:rFonts w:eastAsia="方正仿宋简体" w:cs="Times New Roman"/>
          <w:color w:val="000000"/>
          <w:sz w:val="32"/>
          <w:szCs w:val="32"/>
        </w:rPr>
        <w:t>2020年决算数为</w:t>
      </w:r>
      <w:r>
        <w:rPr>
          <w:rFonts w:hint="eastAsia" w:eastAsia="方正仿宋简体" w:cs="Times New Roman"/>
          <w:color w:val="000000"/>
          <w:sz w:val="32"/>
          <w:szCs w:val="32"/>
        </w:rPr>
        <w:t>22.02</w:t>
      </w:r>
      <w:r>
        <w:rPr>
          <w:rFonts w:eastAsia="方正仿宋简体" w:cs="Times New Roman"/>
          <w:color w:val="000000"/>
          <w:sz w:val="32"/>
          <w:szCs w:val="32"/>
        </w:rPr>
        <w:t>万元，完成预算100%。</w:t>
      </w:r>
    </w:p>
    <w:p>
      <w:pPr>
        <w:tabs>
          <w:tab w:val="right" w:pos="8306"/>
        </w:tabs>
        <w:spacing w:line="600" w:lineRule="exact"/>
        <w:ind w:firstLine="640"/>
        <w:outlineLvl w:val="1"/>
        <w:rPr>
          <w:rStyle w:val="20"/>
          <w:rFonts w:ascii="Times New Roman" w:hAnsi="Times New Roman" w:eastAsia="黑体" w:cs="Times New Roman"/>
          <w:b w:val="0"/>
          <w:color w:val="000000"/>
        </w:rPr>
      </w:pPr>
      <w:bookmarkStart w:id="146" w:name="_Toc16154366"/>
      <w:bookmarkStart w:id="147" w:name="_Toc7720_WPSOffice_Level2"/>
      <w:bookmarkStart w:id="148" w:name="_Toc15377214"/>
      <w:bookmarkStart w:id="149" w:name="_Toc81232256"/>
      <w:bookmarkStart w:id="150" w:name="_Toc80805981"/>
      <w:bookmarkStart w:id="151" w:name="_Toc80806114"/>
      <w:r>
        <w:rPr>
          <w:rFonts w:eastAsia="黑体" w:cs="Times New Roman"/>
          <w:color w:val="000000"/>
          <w:sz w:val="32"/>
          <w:szCs w:val="32"/>
        </w:rPr>
        <w:t>六、一</w:t>
      </w:r>
      <w:r>
        <w:rPr>
          <w:rStyle w:val="20"/>
          <w:rFonts w:ascii="Times New Roman" w:hAnsi="Times New Roman" w:eastAsia="黑体" w:cs="Times New Roman"/>
          <w:b w:val="0"/>
          <w:color w:val="000000"/>
        </w:rPr>
        <w:t>般公共预算财政拨款基本支出决算情况说明</w:t>
      </w:r>
      <w:bookmarkEnd w:id="146"/>
      <w:bookmarkEnd w:id="147"/>
      <w:bookmarkEnd w:id="148"/>
      <w:bookmarkEnd w:id="149"/>
      <w:bookmarkEnd w:id="150"/>
      <w:bookmarkEnd w:id="151"/>
      <w:r>
        <w:rPr>
          <w:rStyle w:val="20"/>
          <w:rFonts w:ascii="Times New Roman" w:hAnsi="Times New Roman" w:eastAsia="黑体" w:cs="Times New Roman"/>
          <w:b w:val="0"/>
          <w:color w:val="000000"/>
        </w:rPr>
        <w:tab/>
      </w:r>
    </w:p>
    <w:p>
      <w:pPr>
        <w:spacing w:line="600" w:lineRule="exact"/>
        <w:ind w:firstLine="640" w:firstLineChars="200"/>
        <w:outlineLvl w:val="2"/>
        <w:rPr>
          <w:rFonts w:eastAsia="方正仿宋简体" w:cs="Times New Roman"/>
          <w:color w:val="000000"/>
          <w:sz w:val="32"/>
          <w:szCs w:val="32"/>
        </w:rPr>
      </w:pPr>
      <w:bookmarkStart w:id="152" w:name="_Toc80805982"/>
      <w:bookmarkStart w:id="153" w:name="_Toc80815018"/>
      <w:bookmarkStart w:id="154" w:name="_Toc80806115"/>
      <w:bookmarkStart w:id="155" w:name="_Toc81232257"/>
      <w:r>
        <w:rPr>
          <w:rFonts w:eastAsia="方正仿宋简体" w:cs="Times New Roman"/>
          <w:color w:val="000000"/>
          <w:sz w:val="32"/>
          <w:szCs w:val="32"/>
        </w:rPr>
        <w:t>20</w:t>
      </w:r>
      <w:r>
        <w:rPr>
          <w:rFonts w:hint="eastAsia" w:eastAsia="方正仿宋简体" w:cs="Times New Roman"/>
          <w:color w:val="000000"/>
          <w:sz w:val="32"/>
          <w:szCs w:val="32"/>
        </w:rPr>
        <w:t xml:space="preserve">20 </w:t>
      </w:r>
      <w:r>
        <w:rPr>
          <w:rFonts w:eastAsia="方正仿宋简体" w:cs="Times New Roman"/>
          <w:color w:val="000000"/>
          <w:sz w:val="32"/>
          <w:szCs w:val="32"/>
        </w:rPr>
        <w:t>年一般公共预算财政拨款基本支出</w:t>
      </w:r>
      <w:r>
        <w:rPr>
          <w:rFonts w:hint="eastAsia" w:eastAsia="方正仿宋简体" w:cs="Times New Roman"/>
          <w:color w:val="000000"/>
          <w:sz w:val="32"/>
          <w:szCs w:val="32"/>
        </w:rPr>
        <w:t>156.00</w:t>
      </w:r>
      <w:r>
        <w:rPr>
          <w:rFonts w:eastAsia="方正仿宋简体" w:cs="Times New Roman"/>
          <w:color w:val="000000"/>
          <w:sz w:val="32"/>
          <w:szCs w:val="32"/>
        </w:rPr>
        <w:t>万元，其中：</w:t>
      </w:r>
      <w:bookmarkEnd w:id="152"/>
      <w:bookmarkEnd w:id="153"/>
      <w:bookmarkEnd w:id="154"/>
      <w:bookmarkEnd w:id="155"/>
    </w:p>
    <w:p>
      <w:pPr>
        <w:spacing w:line="600" w:lineRule="exact"/>
        <w:ind w:firstLine="640" w:firstLineChars="200"/>
        <w:outlineLvl w:val="2"/>
        <w:rPr>
          <w:rFonts w:eastAsia="方正仿宋简体" w:cs="Times New Roman"/>
          <w:color w:val="000000"/>
          <w:sz w:val="32"/>
          <w:szCs w:val="32"/>
        </w:rPr>
      </w:pPr>
      <w:bookmarkStart w:id="156" w:name="_Toc80815019"/>
      <w:bookmarkStart w:id="157" w:name="_Toc80805983"/>
      <w:bookmarkStart w:id="158" w:name="_Toc80806116"/>
      <w:bookmarkStart w:id="159" w:name="_Toc81232258"/>
      <w:r>
        <w:rPr>
          <w:rFonts w:eastAsia="方正仿宋简体" w:cs="Times New Roman"/>
          <w:color w:val="000000"/>
          <w:sz w:val="32"/>
          <w:szCs w:val="32"/>
        </w:rPr>
        <w:t>人员经费1</w:t>
      </w:r>
      <w:r>
        <w:rPr>
          <w:rFonts w:hint="eastAsia" w:eastAsia="方正仿宋简体" w:cs="Times New Roman"/>
          <w:color w:val="000000"/>
          <w:sz w:val="32"/>
          <w:szCs w:val="32"/>
        </w:rPr>
        <w:t>36.70</w:t>
      </w:r>
      <w:r>
        <w:rPr>
          <w:rFonts w:eastAsia="方正仿宋简体" w:cs="Times New Roman"/>
          <w:color w:val="000000"/>
          <w:sz w:val="32"/>
          <w:szCs w:val="32"/>
        </w:rPr>
        <w:t>万元，主要包括：基本工资、津贴补贴、奖金、绩效工资、机关事业单位基本养老保险缴费、职业年金缴费、其他工资福利支出、生活补助、医疗费补助、奖励金、住房公积金、其他对个人和家庭的补助支出等。</w:t>
      </w:r>
      <w:r>
        <w:rPr>
          <w:rFonts w:eastAsia="方正仿宋简体" w:cs="Times New Roman"/>
          <w:color w:val="000000"/>
          <w:sz w:val="32"/>
          <w:szCs w:val="32"/>
        </w:rPr>
        <w:br w:type="textWrapping"/>
      </w:r>
      <w:r>
        <w:rPr>
          <w:rFonts w:eastAsia="方正仿宋简体" w:cs="Times New Roman"/>
          <w:color w:val="000000"/>
          <w:sz w:val="32"/>
          <w:szCs w:val="32"/>
        </w:rPr>
        <w:t>　　公用经费</w:t>
      </w:r>
      <w:r>
        <w:rPr>
          <w:rFonts w:hint="eastAsia" w:eastAsia="方正仿宋简体" w:cs="Times New Roman"/>
          <w:color w:val="000000"/>
          <w:sz w:val="32"/>
          <w:szCs w:val="32"/>
        </w:rPr>
        <w:t>19.30</w:t>
      </w:r>
      <w:r>
        <w:rPr>
          <w:rFonts w:eastAsia="方正仿宋简体" w:cs="Times New Roman"/>
          <w:color w:val="000000"/>
          <w:sz w:val="32"/>
          <w:szCs w:val="32"/>
        </w:rPr>
        <w:t>万元，主要包括：办公费、印刷费、咨询费、手续费、水费、电费、邮电费、物业管理费、差旅费、维修（护）费、租赁费、会议费、培训费、公务接待费、劳务费、工会经费、福利费、其他交通费、其他商品和服务支出、办公设备购置等。</w:t>
      </w:r>
      <w:bookmarkEnd w:id="156"/>
      <w:bookmarkEnd w:id="157"/>
      <w:bookmarkEnd w:id="158"/>
      <w:bookmarkEnd w:id="159"/>
    </w:p>
    <w:p>
      <w:pPr>
        <w:spacing w:line="600" w:lineRule="exact"/>
        <w:ind w:firstLine="640"/>
        <w:outlineLvl w:val="1"/>
        <w:rPr>
          <w:rStyle w:val="20"/>
          <w:rFonts w:ascii="Times New Roman" w:hAnsi="Times New Roman" w:eastAsia="黑体" w:cs="Times New Roman"/>
          <w:b w:val="0"/>
          <w:color w:val="000000"/>
        </w:rPr>
      </w:pPr>
      <w:bookmarkStart w:id="160" w:name="_Toc15377215"/>
      <w:bookmarkStart w:id="161" w:name="_Toc80806117"/>
      <w:bookmarkStart w:id="162" w:name="_Toc5467_WPSOffice_Level2"/>
      <w:bookmarkStart w:id="163" w:name="_Toc16154367"/>
      <w:bookmarkStart w:id="164" w:name="_Toc80805984"/>
      <w:bookmarkStart w:id="165" w:name="_Toc81232259"/>
      <w:r>
        <w:rPr>
          <w:rFonts w:eastAsia="黑体" w:cs="Times New Roman"/>
          <w:color w:val="000000"/>
          <w:sz w:val="32"/>
          <w:szCs w:val="32"/>
        </w:rPr>
        <w:t>七、</w:t>
      </w:r>
      <w:r>
        <w:rPr>
          <w:rStyle w:val="20"/>
          <w:rFonts w:hint="eastAsia" w:ascii="Times New Roman" w:hAnsi="Times New Roman" w:eastAsia="黑体" w:cs="Times New Roman"/>
          <w:b w:val="0"/>
          <w:color w:val="000000"/>
        </w:rPr>
        <w:t>“</w:t>
      </w:r>
      <w:r>
        <w:rPr>
          <w:rStyle w:val="20"/>
          <w:rFonts w:ascii="Times New Roman" w:hAnsi="Times New Roman" w:eastAsia="黑体" w:cs="Times New Roman"/>
          <w:b w:val="0"/>
          <w:color w:val="000000"/>
        </w:rPr>
        <w:t>三公</w:t>
      </w:r>
      <w:r>
        <w:rPr>
          <w:rStyle w:val="20"/>
          <w:rFonts w:hint="eastAsia" w:ascii="Times New Roman" w:hAnsi="Times New Roman" w:eastAsia="黑体" w:cs="Times New Roman"/>
          <w:b w:val="0"/>
          <w:color w:val="000000"/>
        </w:rPr>
        <w:t>”</w:t>
      </w:r>
      <w:r>
        <w:rPr>
          <w:rStyle w:val="20"/>
          <w:rFonts w:ascii="Times New Roman" w:hAnsi="Times New Roman" w:eastAsia="黑体" w:cs="Times New Roman"/>
          <w:b w:val="0"/>
          <w:color w:val="000000"/>
        </w:rPr>
        <w:t>经费财政拨款支出决算情况说明</w:t>
      </w:r>
      <w:bookmarkEnd w:id="160"/>
      <w:bookmarkEnd w:id="161"/>
      <w:bookmarkEnd w:id="162"/>
      <w:bookmarkEnd w:id="163"/>
      <w:bookmarkEnd w:id="164"/>
      <w:bookmarkEnd w:id="165"/>
    </w:p>
    <w:p>
      <w:pPr>
        <w:spacing w:line="600" w:lineRule="exact"/>
        <w:ind w:firstLine="640"/>
        <w:outlineLvl w:val="2"/>
        <w:rPr>
          <w:rFonts w:eastAsia="楷体" w:cs="Times New Roman"/>
          <w:color w:val="000000"/>
          <w:sz w:val="32"/>
          <w:szCs w:val="32"/>
        </w:rPr>
      </w:pPr>
      <w:bookmarkStart w:id="166" w:name="_Toc772_WPSOffice_Level3"/>
      <w:bookmarkStart w:id="167" w:name="_Toc29015_WPSOffice_Level3"/>
      <w:bookmarkStart w:id="168" w:name="_Toc10294_WPSOffice_Level3"/>
      <w:bookmarkStart w:id="169" w:name="_Toc15377216"/>
      <w:bookmarkStart w:id="170" w:name="_Toc17858_WPSOffice_Level3"/>
      <w:bookmarkStart w:id="171" w:name="_Toc23877_WPSOffice_Level3"/>
      <w:bookmarkStart w:id="172" w:name="_Toc28642_WPSOffice_Level3"/>
      <w:bookmarkStart w:id="173" w:name="_Toc11973_WPSOffice_Level3"/>
      <w:bookmarkStart w:id="174" w:name="_Toc80815021"/>
      <w:bookmarkStart w:id="175" w:name="_Toc80805985"/>
      <w:bookmarkStart w:id="176" w:name="_Toc29007_WPSOffice_Level3"/>
      <w:bookmarkStart w:id="177" w:name="_Toc80806118"/>
      <w:bookmarkStart w:id="178" w:name="_Toc81232260"/>
      <w:r>
        <w:rPr>
          <w:rFonts w:eastAsia="楷体" w:cs="Times New Roman"/>
          <w:color w:val="000000"/>
          <w:sz w:val="32"/>
          <w:szCs w:val="32"/>
        </w:rPr>
        <w:t>（一）</w:t>
      </w:r>
      <w:r>
        <w:rPr>
          <w:rFonts w:hint="eastAsia" w:eastAsia="楷体" w:cs="Times New Roman"/>
          <w:color w:val="000000"/>
          <w:sz w:val="32"/>
          <w:szCs w:val="32"/>
        </w:rPr>
        <w:t>“</w:t>
      </w:r>
      <w:r>
        <w:rPr>
          <w:rFonts w:eastAsia="楷体" w:cs="Times New Roman"/>
          <w:color w:val="000000"/>
          <w:sz w:val="32"/>
          <w:szCs w:val="32"/>
        </w:rPr>
        <w:t>三公</w:t>
      </w:r>
      <w:r>
        <w:rPr>
          <w:rFonts w:hint="eastAsia" w:eastAsia="楷体" w:cs="Times New Roman"/>
          <w:color w:val="000000"/>
          <w:sz w:val="32"/>
          <w:szCs w:val="32"/>
        </w:rPr>
        <w:t>”</w:t>
      </w:r>
      <w:r>
        <w:rPr>
          <w:rFonts w:eastAsia="楷体" w:cs="Times New Roman"/>
          <w:color w:val="000000"/>
          <w:sz w:val="32"/>
          <w:szCs w:val="32"/>
        </w:rPr>
        <w:t>经费财政拨款支出决算总体情况说明</w:t>
      </w:r>
      <w:bookmarkEnd w:id="166"/>
      <w:bookmarkEnd w:id="167"/>
      <w:bookmarkEnd w:id="168"/>
      <w:bookmarkEnd w:id="169"/>
      <w:bookmarkEnd w:id="170"/>
      <w:bookmarkEnd w:id="171"/>
      <w:bookmarkEnd w:id="172"/>
      <w:bookmarkEnd w:id="173"/>
      <w:bookmarkEnd w:id="174"/>
      <w:bookmarkEnd w:id="175"/>
      <w:bookmarkEnd w:id="176"/>
      <w:bookmarkEnd w:id="177"/>
      <w:bookmarkEnd w:id="178"/>
    </w:p>
    <w:p>
      <w:pPr>
        <w:spacing w:line="600" w:lineRule="exact"/>
        <w:ind w:firstLine="640"/>
        <w:rPr>
          <w:rFonts w:hint="eastAsia" w:eastAsia="方正仿宋简体" w:cs="Times New Roman"/>
          <w:color w:val="000000"/>
          <w:sz w:val="32"/>
          <w:szCs w:val="32"/>
        </w:rPr>
      </w:pPr>
      <w:r>
        <w:rPr>
          <w:rFonts w:eastAsia="方正仿宋简体" w:cs="Times New Roman"/>
          <w:color w:val="000000"/>
          <w:sz w:val="32"/>
          <w:szCs w:val="32"/>
        </w:rPr>
        <w:t>2020年“三公”经费财政拨款支出决算为</w:t>
      </w:r>
      <w:r>
        <w:rPr>
          <w:rFonts w:hint="eastAsia" w:eastAsia="方正仿宋简体" w:cs="Times New Roman"/>
          <w:color w:val="000000"/>
          <w:sz w:val="32"/>
          <w:szCs w:val="32"/>
        </w:rPr>
        <w:t>0</w:t>
      </w:r>
      <w:r>
        <w:rPr>
          <w:rFonts w:eastAsia="方正仿宋简体" w:cs="Times New Roman"/>
          <w:color w:val="000000"/>
          <w:sz w:val="32"/>
          <w:szCs w:val="32"/>
        </w:rPr>
        <w:t>万元，完成预算</w:t>
      </w:r>
      <w:r>
        <w:rPr>
          <w:rFonts w:hint="eastAsia" w:eastAsia="方正仿宋简体" w:cs="Times New Roman"/>
          <w:color w:val="000000"/>
          <w:sz w:val="32"/>
          <w:szCs w:val="32"/>
        </w:rPr>
        <w:t>0</w:t>
      </w:r>
      <w:r>
        <w:rPr>
          <w:rFonts w:eastAsia="方正仿宋简体" w:cs="Times New Roman"/>
          <w:color w:val="000000"/>
          <w:sz w:val="32"/>
          <w:szCs w:val="32"/>
        </w:rPr>
        <w:t>%，决算数小于预算数的主要原因</w:t>
      </w:r>
      <w:r>
        <w:rPr>
          <w:rFonts w:hint="eastAsia" w:eastAsia="方正仿宋简体" w:cs="Times New Roman"/>
          <w:color w:val="000000"/>
          <w:sz w:val="32"/>
          <w:szCs w:val="32"/>
        </w:rPr>
        <w:t>是</w:t>
      </w:r>
      <w:r>
        <w:rPr>
          <w:rFonts w:eastAsia="方正仿宋简体" w:cs="Times New Roman"/>
          <w:color w:val="000000"/>
          <w:sz w:val="32"/>
          <w:szCs w:val="32"/>
        </w:rPr>
        <w:t>严格执行厉行节约</w:t>
      </w:r>
      <w:r>
        <w:rPr>
          <w:rFonts w:hint="eastAsia" w:eastAsia="方正仿宋简体" w:cs="Times New Roman"/>
          <w:color w:val="000000"/>
          <w:sz w:val="32"/>
          <w:szCs w:val="32"/>
        </w:rPr>
        <w:t>有关规定，从严控制“三公”经费开支。</w:t>
      </w:r>
    </w:p>
    <w:p>
      <w:pPr>
        <w:spacing w:line="600" w:lineRule="exact"/>
        <w:ind w:firstLine="640"/>
        <w:outlineLvl w:val="2"/>
        <w:rPr>
          <w:rFonts w:eastAsia="楷体" w:cs="Times New Roman"/>
          <w:color w:val="000000"/>
          <w:sz w:val="32"/>
          <w:szCs w:val="32"/>
        </w:rPr>
      </w:pPr>
      <w:bookmarkStart w:id="179" w:name="_Toc20233_WPSOffice_Level3"/>
      <w:bookmarkStart w:id="180" w:name="_Toc21550_WPSOffice_Level3"/>
      <w:bookmarkStart w:id="181" w:name="_Toc15377217"/>
      <w:bookmarkStart w:id="182" w:name="_Toc3625_WPSOffice_Level3"/>
      <w:bookmarkStart w:id="183" w:name="_Toc10804_WPSOffice_Level3"/>
      <w:bookmarkStart w:id="184" w:name="_Toc197_WPSOffice_Level3"/>
      <w:bookmarkStart w:id="185" w:name="_Toc80805986"/>
      <w:bookmarkStart w:id="186" w:name="_Toc22213_WPSOffice_Level3"/>
      <w:bookmarkStart w:id="187" w:name="_Toc28511_WPSOffice_Level3"/>
      <w:bookmarkStart w:id="188" w:name="_Toc15294_WPSOffice_Level3"/>
      <w:bookmarkStart w:id="189" w:name="_Toc80815022"/>
      <w:bookmarkStart w:id="190" w:name="_Toc80806119"/>
      <w:bookmarkStart w:id="191" w:name="_Toc81232261"/>
      <w:r>
        <w:rPr>
          <w:rFonts w:eastAsia="楷体" w:cs="Times New Roman"/>
          <w:color w:val="000000"/>
          <w:sz w:val="32"/>
          <w:szCs w:val="32"/>
        </w:rPr>
        <w:t>（二）</w:t>
      </w:r>
      <w:r>
        <w:rPr>
          <w:rFonts w:hint="eastAsia" w:eastAsia="楷体" w:cs="Times New Roman"/>
          <w:color w:val="000000"/>
          <w:sz w:val="32"/>
          <w:szCs w:val="32"/>
        </w:rPr>
        <w:t>“</w:t>
      </w:r>
      <w:r>
        <w:rPr>
          <w:rFonts w:eastAsia="楷体" w:cs="Times New Roman"/>
          <w:color w:val="000000"/>
          <w:sz w:val="32"/>
          <w:szCs w:val="32"/>
        </w:rPr>
        <w:t>三公</w:t>
      </w:r>
      <w:r>
        <w:rPr>
          <w:rFonts w:hint="eastAsia" w:eastAsia="楷体" w:cs="Times New Roman"/>
          <w:color w:val="000000"/>
          <w:sz w:val="32"/>
          <w:szCs w:val="32"/>
        </w:rPr>
        <w:t>”</w:t>
      </w:r>
      <w:r>
        <w:rPr>
          <w:rFonts w:eastAsia="楷体" w:cs="Times New Roman"/>
          <w:color w:val="000000"/>
          <w:sz w:val="32"/>
          <w:szCs w:val="32"/>
        </w:rPr>
        <w:t>经费财政拨款支出决算具体情况说明</w:t>
      </w:r>
      <w:bookmarkEnd w:id="179"/>
      <w:bookmarkEnd w:id="180"/>
      <w:bookmarkEnd w:id="181"/>
      <w:bookmarkEnd w:id="182"/>
      <w:bookmarkEnd w:id="183"/>
      <w:bookmarkEnd w:id="184"/>
      <w:bookmarkEnd w:id="185"/>
      <w:bookmarkEnd w:id="186"/>
      <w:bookmarkEnd w:id="187"/>
      <w:bookmarkEnd w:id="188"/>
      <w:bookmarkEnd w:id="189"/>
      <w:bookmarkEnd w:id="190"/>
      <w:bookmarkEnd w:id="191"/>
    </w:p>
    <w:p>
      <w:pPr>
        <w:spacing w:line="600" w:lineRule="exact"/>
        <w:ind w:firstLine="640"/>
        <w:rPr>
          <w:rFonts w:hint="eastAsia" w:eastAsia="方正仿宋简体" w:cs="Times New Roman"/>
          <w:color w:val="000000"/>
          <w:sz w:val="32"/>
          <w:szCs w:val="32"/>
        </w:rPr>
      </w:pPr>
      <w:r>
        <w:rPr>
          <w:rFonts w:eastAsia="方正仿宋简体" w:cs="Times New Roman"/>
          <w:color w:val="000000"/>
          <w:sz w:val="32"/>
          <w:szCs w:val="32"/>
        </w:rPr>
        <w:t>20</w:t>
      </w:r>
      <w:r>
        <w:rPr>
          <w:rFonts w:hint="eastAsia" w:eastAsia="方正仿宋简体" w:cs="Times New Roman"/>
          <w:color w:val="000000"/>
          <w:sz w:val="32"/>
          <w:szCs w:val="32"/>
        </w:rPr>
        <w:t>20</w:t>
      </w:r>
      <w:r>
        <w:rPr>
          <w:rFonts w:eastAsia="方正仿宋简体" w:cs="Times New Roman"/>
          <w:color w:val="000000"/>
          <w:sz w:val="32"/>
          <w:szCs w:val="32"/>
        </w:rPr>
        <w:t>年</w:t>
      </w:r>
      <w:r>
        <w:rPr>
          <w:rFonts w:hint="eastAsia" w:eastAsia="方正仿宋简体" w:cs="Times New Roman"/>
          <w:color w:val="000000"/>
          <w:sz w:val="32"/>
          <w:szCs w:val="32"/>
        </w:rPr>
        <w:t>“</w:t>
      </w:r>
      <w:r>
        <w:rPr>
          <w:rFonts w:eastAsia="方正仿宋简体" w:cs="Times New Roman"/>
          <w:color w:val="000000"/>
          <w:sz w:val="32"/>
          <w:szCs w:val="32"/>
        </w:rPr>
        <w:t>三公</w:t>
      </w:r>
      <w:r>
        <w:rPr>
          <w:rFonts w:hint="eastAsia" w:eastAsia="方正仿宋简体" w:cs="Times New Roman"/>
          <w:color w:val="000000"/>
          <w:sz w:val="32"/>
          <w:szCs w:val="32"/>
        </w:rPr>
        <w:t>”</w:t>
      </w:r>
      <w:r>
        <w:rPr>
          <w:rFonts w:eastAsia="方正仿宋简体" w:cs="Times New Roman"/>
          <w:color w:val="000000"/>
          <w:sz w:val="32"/>
          <w:szCs w:val="32"/>
        </w:rPr>
        <w:t>经费财政拨款支出决算中，因公出国（境）费支出决算</w:t>
      </w:r>
      <w:r>
        <w:rPr>
          <w:rFonts w:hint="eastAsia" w:eastAsia="方正仿宋简体" w:cs="Times New Roman"/>
          <w:color w:val="000000"/>
          <w:sz w:val="32"/>
          <w:szCs w:val="32"/>
        </w:rPr>
        <w:t>0</w:t>
      </w:r>
      <w:r>
        <w:rPr>
          <w:rFonts w:eastAsia="方正仿宋简体" w:cs="Times New Roman"/>
          <w:color w:val="000000"/>
          <w:sz w:val="32"/>
          <w:szCs w:val="32"/>
        </w:rPr>
        <w:t>万元，占</w:t>
      </w:r>
      <w:r>
        <w:rPr>
          <w:rFonts w:hint="eastAsia" w:eastAsia="方正仿宋简体" w:cs="Times New Roman"/>
          <w:color w:val="000000"/>
          <w:sz w:val="32"/>
          <w:szCs w:val="32"/>
        </w:rPr>
        <w:t>0</w:t>
      </w:r>
      <w:r>
        <w:rPr>
          <w:rFonts w:eastAsia="方正仿宋简体" w:cs="Times New Roman"/>
          <w:color w:val="000000"/>
          <w:sz w:val="32"/>
          <w:szCs w:val="32"/>
        </w:rPr>
        <w:t>%；公务用车购置及运行维护费支出决算</w:t>
      </w:r>
      <w:r>
        <w:rPr>
          <w:rFonts w:hint="eastAsia" w:eastAsia="方正仿宋简体" w:cs="Times New Roman"/>
          <w:color w:val="000000"/>
          <w:sz w:val="32"/>
          <w:szCs w:val="32"/>
        </w:rPr>
        <w:t>0</w:t>
      </w:r>
      <w:r>
        <w:rPr>
          <w:rFonts w:eastAsia="方正仿宋简体" w:cs="Times New Roman"/>
          <w:color w:val="000000"/>
          <w:sz w:val="32"/>
          <w:szCs w:val="32"/>
        </w:rPr>
        <w:t>万元，占</w:t>
      </w:r>
      <w:r>
        <w:rPr>
          <w:rFonts w:hint="eastAsia" w:eastAsia="方正仿宋简体" w:cs="Times New Roman"/>
          <w:color w:val="000000"/>
          <w:sz w:val="32"/>
          <w:szCs w:val="32"/>
        </w:rPr>
        <w:t>0</w:t>
      </w:r>
      <w:r>
        <w:rPr>
          <w:rFonts w:eastAsia="方正仿宋简体" w:cs="Times New Roman"/>
          <w:color w:val="000000"/>
          <w:sz w:val="32"/>
          <w:szCs w:val="32"/>
        </w:rPr>
        <w:t>%；公务接待费支出决算</w:t>
      </w:r>
      <w:r>
        <w:rPr>
          <w:rFonts w:hint="eastAsia" w:eastAsia="方正仿宋简体" w:cs="Times New Roman"/>
          <w:color w:val="000000"/>
          <w:sz w:val="32"/>
          <w:szCs w:val="32"/>
        </w:rPr>
        <w:t>0</w:t>
      </w:r>
      <w:r>
        <w:rPr>
          <w:rFonts w:eastAsia="方正仿宋简体" w:cs="Times New Roman"/>
          <w:color w:val="000000"/>
          <w:sz w:val="32"/>
          <w:szCs w:val="32"/>
        </w:rPr>
        <w:t>万元，占</w:t>
      </w:r>
      <w:r>
        <w:rPr>
          <w:rFonts w:hint="eastAsia" w:eastAsia="方正仿宋简体" w:cs="Times New Roman"/>
          <w:color w:val="000000"/>
          <w:sz w:val="32"/>
          <w:szCs w:val="32"/>
        </w:rPr>
        <w:t>0</w:t>
      </w:r>
      <w:r>
        <w:rPr>
          <w:rFonts w:eastAsia="方正仿宋简体" w:cs="Times New Roman"/>
          <w:color w:val="000000"/>
          <w:sz w:val="32"/>
          <w:szCs w:val="32"/>
        </w:rPr>
        <w:t>%。具体情况如下：</w:t>
      </w:r>
    </w:p>
    <w:p>
      <w:pPr>
        <w:pStyle w:val="2"/>
        <w:spacing w:before="173"/>
        <w:rPr>
          <w:rFonts w:hint="eastAsia"/>
        </w:rPr>
      </w:pPr>
    </w:p>
    <w:p>
      <w:pPr>
        <w:spacing w:line="600" w:lineRule="exact"/>
        <w:ind w:firstLine="640"/>
        <w:jc w:val="center"/>
        <w:rPr>
          <w:rFonts w:hint="eastAsia" w:eastAsia="仿宋" w:cs="Times New Roman"/>
          <w:color w:val="000000"/>
          <w:sz w:val="32"/>
          <w:szCs w:val="32"/>
        </w:rPr>
      </w:pPr>
      <w:bookmarkStart w:id="192" w:name="_Toc11535_WPSOffice_Level3"/>
      <w:bookmarkStart w:id="193" w:name="_Toc1062_WPSOffice_Level3"/>
      <w:bookmarkStart w:id="194" w:name="_Toc22821_WPSOffice_Level3"/>
      <w:bookmarkStart w:id="195" w:name="_Toc28635_WPSOffice_Level3"/>
      <w:bookmarkStart w:id="196" w:name="_Toc3049_WPSOffice_Level3"/>
      <w:bookmarkStart w:id="197" w:name="_Toc11521_WPSOffice_Level3"/>
      <w:bookmarkStart w:id="198" w:name="_Toc6332_WPSOffice_Level3"/>
    </w:p>
    <w:p>
      <w:pPr>
        <w:spacing w:line="600" w:lineRule="exact"/>
        <w:ind w:firstLine="640"/>
        <w:jc w:val="center"/>
        <w:rPr>
          <w:rFonts w:eastAsia="仿宋" w:cs="Times New Roman"/>
          <w:color w:val="000000"/>
          <w:sz w:val="32"/>
          <w:szCs w:val="32"/>
        </w:rPr>
      </w:pPr>
      <w:r>
        <w:rPr>
          <w:rFonts w:eastAsia="仿宋" w:cs="Times New Roman"/>
          <w:color w:val="000000"/>
          <w:sz w:val="32"/>
          <w:szCs w:val="32"/>
        </w:rPr>
        <w:t>（图7：</w:t>
      </w:r>
      <w:r>
        <w:rPr>
          <w:rFonts w:hint="eastAsia" w:eastAsia="仿宋" w:cs="Times New Roman"/>
          <w:color w:val="000000"/>
          <w:sz w:val="32"/>
          <w:szCs w:val="32"/>
        </w:rPr>
        <w:t>“</w:t>
      </w:r>
      <w:r>
        <w:rPr>
          <w:rFonts w:eastAsia="仿宋" w:cs="Times New Roman"/>
          <w:color w:val="000000"/>
          <w:sz w:val="32"/>
          <w:szCs w:val="32"/>
        </w:rPr>
        <w:t>三公</w:t>
      </w:r>
      <w:r>
        <w:rPr>
          <w:rFonts w:hint="eastAsia" w:eastAsia="仿宋" w:cs="Times New Roman"/>
          <w:color w:val="000000"/>
          <w:sz w:val="32"/>
          <w:szCs w:val="32"/>
        </w:rPr>
        <w:t>”</w:t>
      </w:r>
      <w:r>
        <w:rPr>
          <w:rFonts w:eastAsia="仿宋" w:cs="Times New Roman"/>
          <w:color w:val="000000"/>
          <w:sz w:val="32"/>
          <w:szCs w:val="32"/>
        </w:rPr>
        <w:t>经费财政拨款支出结构）</w:t>
      </w:r>
      <w:bookmarkEnd w:id="192"/>
      <w:bookmarkEnd w:id="193"/>
      <w:bookmarkEnd w:id="194"/>
      <w:bookmarkEnd w:id="195"/>
      <w:bookmarkEnd w:id="196"/>
      <w:bookmarkEnd w:id="197"/>
      <w:bookmarkEnd w:id="198"/>
    </w:p>
    <w:p>
      <w:pPr>
        <w:spacing w:line="600" w:lineRule="exact"/>
        <w:ind w:firstLine="640"/>
        <w:jc w:val="center"/>
        <w:rPr>
          <w:rFonts w:eastAsia="仿宋" w:cs="Times New Roman"/>
          <w:color w:val="000000"/>
          <w:sz w:val="32"/>
          <w:szCs w:val="32"/>
        </w:rPr>
      </w:pPr>
      <w:r>
        <w:rPr>
          <w:rFonts w:eastAsia="仿宋" w:cs="Times New Roman"/>
          <w:color w:val="000000"/>
          <w:sz w:val="32"/>
          <w:szCs w:val="32"/>
          <w:lang w:val="en-US" w:eastAsia="zh-CN"/>
        </w:rPr>
        <w:pict>
          <v:shape id="_x0000_s1035" o:spid="_x0000_s1035" o:spt="75" type="#_x0000_t75" style="position:absolute;left:0pt;margin-left:9.75pt;margin-top:5.35pt;height:177pt;width:435.9pt;z-index:251664384;mso-width-relative:page;mso-height-relative:page;" o:ole="t" filled="t" o:preferrelative="t" stroked="t" coordsize="21600,21600">
            <v:path/>
            <v:fill type="gradient" on="t" color2="fill darken(118)" focus="100%" focussize="0,0" method="linear sigma" rotate="t"/>
            <v:stroke color="#00B050" joinstyle="miter"/>
            <v:imagedata r:id="rId19" o:title=""/>
            <o:lock v:ext="edit" aspectratio="t"/>
          </v:shape>
          <o:OLEObject Type="Embed" ProgID="MSGraph.Chart.8" ShapeID="_x0000_s1035" DrawAspect="Content" ObjectID="_1468075731" r:id="rId18">
            <o:LockedField>false</o:LockedField>
          </o:OLEObject>
        </w:pict>
      </w:r>
    </w:p>
    <w:p>
      <w:pPr>
        <w:spacing w:line="600" w:lineRule="exact"/>
        <w:ind w:firstLine="640"/>
        <w:jc w:val="center"/>
        <w:rPr>
          <w:rFonts w:eastAsia="仿宋" w:cs="Times New Roman"/>
          <w:color w:val="000000"/>
          <w:sz w:val="32"/>
          <w:szCs w:val="32"/>
        </w:rPr>
      </w:pPr>
    </w:p>
    <w:p>
      <w:pPr>
        <w:spacing w:line="600" w:lineRule="exact"/>
        <w:ind w:firstLine="640"/>
        <w:jc w:val="center"/>
        <w:rPr>
          <w:rFonts w:eastAsia="仿宋" w:cs="Times New Roman"/>
          <w:color w:val="000000"/>
          <w:sz w:val="32"/>
          <w:szCs w:val="32"/>
        </w:rPr>
      </w:pPr>
    </w:p>
    <w:p>
      <w:pPr>
        <w:spacing w:line="600" w:lineRule="exact"/>
        <w:ind w:firstLine="640"/>
        <w:jc w:val="center"/>
        <w:rPr>
          <w:rFonts w:eastAsia="仿宋" w:cs="Times New Roman"/>
          <w:color w:val="000000"/>
          <w:sz w:val="32"/>
          <w:szCs w:val="32"/>
        </w:rPr>
      </w:pPr>
    </w:p>
    <w:p>
      <w:pPr>
        <w:spacing w:line="600" w:lineRule="exact"/>
        <w:ind w:firstLine="640"/>
        <w:rPr>
          <w:rFonts w:hint="eastAsia" w:eastAsia="仿宋" w:cs="Times New Roman"/>
          <w:color w:val="000000"/>
          <w:sz w:val="32"/>
          <w:szCs w:val="32"/>
        </w:rPr>
      </w:pPr>
    </w:p>
    <w:p>
      <w:pPr>
        <w:spacing w:line="600" w:lineRule="exact"/>
        <w:ind w:firstLine="640"/>
        <w:rPr>
          <w:rFonts w:hint="eastAsia" w:eastAsia="仿宋" w:cs="Times New Roman"/>
          <w:color w:val="000000"/>
          <w:sz w:val="32"/>
          <w:szCs w:val="32"/>
        </w:rPr>
      </w:pPr>
    </w:p>
    <w:p>
      <w:pPr>
        <w:spacing w:line="600" w:lineRule="exact"/>
        <w:ind w:firstLine="640"/>
        <w:rPr>
          <w:rFonts w:hint="eastAsia" w:eastAsia="方正仿宋简体" w:cs="Times New Roman"/>
          <w:color w:val="000000"/>
          <w:sz w:val="32"/>
          <w:szCs w:val="32"/>
        </w:rPr>
      </w:pPr>
      <w:r>
        <w:rPr>
          <w:rFonts w:eastAsia="方正仿宋简体" w:cs="Times New Roman"/>
          <w:color w:val="000000"/>
          <w:sz w:val="32"/>
          <w:szCs w:val="32"/>
        </w:rPr>
        <w:t>1.</w:t>
      </w:r>
      <w:r>
        <w:rPr>
          <w:rFonts w:hint="eastAsia" w:eastAsia="方正仿宋简体" w:cs="Times New Roman"/>
          <w:color w:val="000000"/>
          <w:sz w:val="32"/>
          <w:szCs w:val="32"/>
        </w:rPr>
        <w:t>因公出国（境）经费支出0万元，完成预算0%。全年安排因公出国（境）团组0次，出国（境）0人。</w:t>
      </w:r>
      <w:r>
        <w:rPr>
          <w:rFonts w:eastAsia="方正仿宋简体" w:cs="Times New Roman"/>
          <w:color w:val="000000"/>
          <w:sz w:val="32"/>
          <w:szCs w:val="32"/>
        </w:rPr>
        <w:t>主要原因是</w:t>
      </w:r>
      <w:r>
        <w:rPr>
          <w:rFonts w:hint="eastAsia" w:eastAsia="方正仿宋简体" w:cs="Times New Roman"/>
          <w:color w:val="000000"/>
          <w:sz w:val="32"/>
          <w:szCs w:val="32"/>
        </w:rPr>
        <w:t>我局2019和2020年度均未安排因公出国（境）任务。</w:t>
      </w:r>
    </w:p>
    <w:p>
      <w:pPr>
        <w:spacing w:line="600" w:lineRule="exact"/>
        <w:ind w:firstLine="640"/>
        <w:rPr>
          <w:rFonts w:hint="eastAsia" w:eastAsia="方正仿宋简体" w:cs="Times New Roman"/>
          <w:color w:val="000000"/>
          <w:sz w:val="32"/>
          <w:szCs w:val="32"/>
        </w:rPr>
      </w:pPr>
      <w:r>
        <w:rPr>
          <w:rFonts w:eastAsia="方正仿宋简体" w:cs="Times New Roman"/>
          <w:color w:val="000000"/>
          <w:sz w:val="32"/>
          <w:szCs w:val="32"/>
        </w:rPr>
        <w:t>2.公务用车购置及运行维护费支出</w:t>
      </w:r>
      <w:r>
        <w:rPr>
          <w:rFonts w:hint="eastAsia" w:eastAsia="方正仿宋简体" w:cs="Times New Roman"/>
          <w:color w:val="000000"/>
          <w:sz w:val="32"/>
          <w:szCs w:val="32"/>
        </w:rPr>
        <w:t>0</w:t>
      </w:r>
      <w:r>
        <w:rPr>
          <w:rFonts w:eastAsia="方正仿宋简体" w:cs="Times New Roman"/>
          <w:color w:val="000000"/>
          <w:sz w:val="32"/>
          <w:szCs w:val="32"/>
        </w:rPr>
        <w:t>万元，完成预算</w:t>
      </w:r>
      <w:r>
        <w:rPr>
          <w:rFonts w:hint="eastAsia" w:eastAsia="方正仿宋简体" w:cs="Times New Roman"/>
          <w:color w:val="000000"/>
          <w:sz w:val="32"/>
          <w:szCs w:val="32"/>
        </w:rPr>
        <w:t>为0</w:t>
      </w:r>
      <w:r>
        <w:rPr>
          <w:rFonts w:eastAsia="方正仿宋简体" w:cs="Times New Roman"/>
          <w:color w:val="000000"/>
          <w:sz w:val="32"/>
          <w:szCs w:val="32"/>
        </w:rPr>
        <w:t>%。</w:t>
      </w:r>
      <w:r>
        <w:rPr>
          <w:rFonts w:hint="eastAsia" w:eastAsia="方正仿宋简体" w:cs="Times New Roman"/>
          <w:color w:val="000000"/>
          <w:sz w:val="32"/>
          <w:szCs w:val="32"/>
        </w:rPr>
        <w:t>较2019年无变化，</w:t>
      </w:r>
      <w:r>
        <w:rPr>
          <w:rFonts w:eastAsia="方正仿宋简体" w:cs="Times New Roman"/>
          <w:color w:val="000000"/>
          <w:sz w:val="32"/>
          <w:szCs w:val="32"/>
        </w:rPr>
        <w:t>主要原因是</w:t>
      </w:r>
      <w:r>
        <w:rPr>
          <w:rFonts w:hint="eastAsia" w:eastAsia="方正仿宋简体" w:cs="Times New Roman"/>
          <w:color w:val="000000"/>
          <w:sz w:val="32"/>
          <w:szCs w:val="32"/>
        </w:rPr>
        <w:t>未配置公务用车。</w:t>
      </w:r>
    </w:p>
    <w:p>
      <w:pPr>
        <w:spacing w:line="600" w:lineRule="exact"/>
        <w:ind w:firstLine="640"/>
        <w:rPr>
          <w:rFonts w:hint="eastAsia" w:eastAsia="方正仿宋简体" w:cs="Times New Roman"/>
          <w:color w:val="000000"/>
          <w:sz w:val="32"/>
          <w:szCs w:val="32"/>
        </w:rPr>
      </w:pPr>
      <w:r>
        <w:rPr>
          <w:rFonts w:eastAsia="方正仿宋简体" w:cs="Times New Roman"/>
          <w:color w:val="000000"/>
          <w:sz w:val="32"/>
          <w:szCs w:val="32"/>
        </w:rPr>
        <w:t>3.公务接待费支出</w:t>
      </w:r>
      <w:r>
        <w:rPr>
          <w:rFonts w:hint="eastAsia" w:eastAsia="方正仿宋简体" w:cs="Times New Roman"/>
          <w:color w:val="000000"/>
          <w:sz w:val="32"/>
          <w:szCs w:val="32"/>
        </w:rPr>
        <w:t>0</w:t>
      </w:r>
      <w:r>
        <w:rPr>
          <w:rFonts w:eastAsia="方正仿宋简体" w:cs="Times New Roman"/>
          <w:color w:val="000000"/>
          <w:sz w:val="32"/>
          <w:szCs w:val="32"/>
        </w:rPr>
        <w:t>万元，完成预算</w:t>
      </w:r>
      <w:r>
        <w:rPr>
          <w:rFonts w:hint="eastAsia" w:eastAsia="方正仿宋简体" w:cs="Times New Roman"/>
          <w:color w:val="000000"/>
          <w:sz w:val="32"/>
          <w:szCs w:val="32"/>
        </w:rPr>
        <w:t>0</w:t>
      </w:r>
      <w:r>
        <w:rPr>
          <w:rFonts w:eastAsia="方正仿宋简体" w:cs="Times New Roman"/>
          <w:color w:val="000000"/>
          <w:sz w:val="32"/>
          <w:szCs w:val="32"/>
        </w:rPr>
        <w:t>%。公务接待费支出决算比201</w:t>
      </w:r>
      <w:r>
        <w:rPr>
          <w:rFonts w:hint="eastAsia" w:eastAsia="方正仿宋简体" w:cs="Times New Roman"/>
          <w:color w:val="000000"/>
          <w:sz w:val="32"/>
          <w:szCs w:val="32"/>
        </w:rPr>
        <w:t>9</w:t>
      </w:r>
      <w:r>
        <w:rPr>
          <w:rFonts w:eastAsia="方正仿宋简体" w:cs="Times New Roman"/>
          <w:color w:val="000000"/>
          <w:sz w:val="32"/>
          <w:szCs w:val="32"/>
        </w:rPr>
        <w:t>年减少</w:t>
      </w:r>
      <w:r>
        <w:rPr>
          <w:rFonts w:hint="eastAsia" w:eastAsia="方正仿宋简体" w:cs="Times New Roman"/>
          <w:color w:val="000000"/>
          <w:sz w:val="32"/>
          <w:szCs w:val="32"/>
        </w:rPr>
        <w:t>0.06</w:t>
      </w:r>
      <w:r>
        <w:rPr>
          <w:rFonts w:eastAsia="方正仿宋简体" w:cs="Times New Roman"/>
          <w:color w:val="000000"/>
          <w:sz w:val="32"/>
          <w:szCs w:val="32"/>
        </w:rPr>
        <w:t>万元，下降</w:t>
      </w:r>
      <w:r>
        <w:rPr>
          <w:rFonts w:hint="eastAsia" w:eastAsia="方正仿宋简体" w:cs="Times New Roman"/>
          <w:color w:val="000000"/>
          <w:sz w:val="32"/>
          <w:szCs w:val="32"/>
        </w:rPr>
        <w:t>100</w:t>
      </w:r>
      <w:r>
        <w:rPr>
          <w:rFonts w:eastAsia="方正仿宋简体" w:cs="Times New Roman"/>
          <w:color w:val="000000"/>
          <w:sz w:val="32"/>
          <w:szCs w:val="32"/>
        </w:rPr>
        <w:t>%。主要原因是严格执行厉行节约</w:t>
      </w:r>
      <w:r>
        <w:rPr>
          <w:rFonts w:hint="eastAsia" w:eastAsia="方正仿宋简体" w:cs="Times New Roman"/>
          <w:color w:val="000000"/>
          <w:sz w:val="32"/>
          <w:szCs w:val="32"/>
        </w:rPr>
        <w:t>有关规定，从严控制</w:t>
      </w:r>
      <w:r>
        <w:rPr>
          <w:rFonts w:eastAsia="方正仿宋简体" w:cs="Times New Roman"/>
          <w:color w:val="000000"/>
          <w:sz w:val="32"/>
          <w:szCs w:val="32"/>
        </w:rPr>
        <w:t>公务接待费</w:t>
      </w:r>
      <w:r>
        <w:rPr>
          <w:rFonts w:hint="eastAsia" w:eastAsia="方正仿宋简体" w:cs="Times New Roman"/>
          <w:color w:val="000000"/>
          <w:sz w:val="32"/>
          <w:szCs w:val="32"/>
        </w:rPr>
        <w:t>开支，2020年未开支公务接待费。</w:t>
      </w:r>
    </w:p>
    <w:p>
      <w:pPr>
        <w:spacing w:line="600" w:lineRule="exact"/>
        <w:ind w:firstLine="640"/>
        <w:rPr>
          <w:rFonts w:eastAsia="方正仿宋简体" w:cs="Times New Roman"/>
          <w:color w:val="000000"/>
          <w:sz w:val="32"/>
          <w:szCs w:val="32"/>
        </w:rPr>
      </w:pPr>
      <w:r>
        <w:rPr>
          <w:rFonts w:eastAsia="方正仿宋简体" w:cs="Times New Roman"/>
          <w:color w:val="000000"/>
          <w:sz w:val="32"/>
          <w:szCs w:val="32"/>
        </w:rPr>
        <w:t>我</w:t>
      </w:r>
      <w:r>
        <w:rPr>
          <w:rFonts w:hint="eastAsia" w:eastAsia="方正仿宋简体" w:cs="Times New Roman"/>
          <w:color w:val="000000"/>
          <w:sz w:val="32"/>
          <w:szCs w:val="32"/>
        </w:rPr>
        <w:t>局</w:t>
      </w:r>
      <w:r>
        <w:rPr>
          <w:rFonts w:eastAsia="方正仿宋简体" w:cs="Times New Roman"/>
          <w:color w:val="000000"/>
          <w:sz w:val="32"/>
          <w:szCs w:val="32"/>
        </w:rPr>
        <w:t>无外事接待支出。</w:t>
      </w:r>
    </w:p>
    <w:p>
      <w:pPr>
        <w:spacing w:line="600" w:lineRule="exact"/>
        <w:ind w:firstLine="640"/>
        <w:outlineLvl w:val="1"/>
        <w:rPr>
          <w:rStyle w:val="20"/>
          <w:rFonts w:ascii="Times New Roman" w:hAnsi="Times New Roman" w:eastAsia="黑体" w:cs="Times New Roman"/>
          <w:b w:val="0"/>
          <w:color w:val="000000"/>
        </w:rPr>
      </w:pPr>
      <w:bookmarkStart w:id="199" w:name="_Toc15377218"/>
      <w:bookmarkStart w:id="200" w:name="_Toc80806120"/>
      <w:bookmarkStart w:id="201" w:name="_Toc1872_WPSOffice_Level2"/>
      <w:bookmarkStart w:id="202" w:name="_Toc16154368"/>
      <w:bookmarkStart w:id="203" w:name="_Toc80805987"/>
      <w:bookmarkStart w:id="204" w:name="_Toc81232262"/>
      <w:r>
        <w:rPr>
          <w:rFonts w:eastAsia="黑体" w:cs="Times New Roman"/>
          <w:color w:val="000000"/>
          <w:sz w:val="32"/>
          <w:szCs w:val="32"/>
        </w:rPr>
        <w:t>八、</w:t>
      </w:r>
      <w:r>
        <w:rPr>
          <w:rStyle w:val="20"/>
          <w:rFonts w:ascii="Times New Roman" w:hAnsi="Times New Roman" w:eastAsia="黑体" w:cs="Times New Roman"/>
          <w:b w:val="0"/>
          <w:color w:val="000000"/>
        </w:rPr>
        <w:t>政府性基金预算支出决算情况说明</w:t>
      </w:r>
      <w:bookmarkEnd w:id="199"/>
      <w:bookmarkEnd w:id="200"/>
      <w:bookmarkEnd w:id="201"/>
      <w:bookmarkEnd w:id="202"/>
      <w:bookmarkEnd w:id="203"/>
      <w:bookmarkEnd w:id="204"/>
    </w:p>
    <w:p>
      <w:pPr>
        <w:spacing w:line="600" w:lineRule="exact"/>
        <w:ind w:firstLine="640"/>
        <w:rPr>
          <w:rFonts w:eastAsia="方正仿宋简体" w:cs="Times New Roman"/>
          <w:color w:val="000000"/>
          <w:sz w:val="32"/>
          <w:szCs w:val="32"/>
        </w:rPr>
      </w:pPr>
      <w:r>
        <w:rPr>
          <w:rFonts w:eastAsia="方正仿宋简体" w:cs="Times New Roman"/>
          <w:color w:val="000000"/>
          <w:sz w:val="32"/>
          <w:szCs w:val="32"/>
        </w:rPr>
        <w:t>20</w:t>
      </w:r>
      <w:r>
        <w:rPr>
          <w:rFonts w:hint="eastAsia" w:eastAsia="方正仿宋简体" w:cs="Times New Roman"/>
          <w:color w:val="000000"/>
          <w:sz w:val="32"/>
          <w:szCs w:val="32"/>
        </w:rPr>
        <w:t>20</w:t>
      </w:r>
      <w:r>
        <w:rPr>
          <w:rFonts w:eastAsia="方正仿宋简体" w:cs="Times New Roman"/>
          <w:color w:val="000000"/>
          <w:sz w:val="32"/>
          <w:szCs w:val="32"/>
        </w:rPr>
        <w:t>年</w:t>
      </w:r>
      <w:r>
        <w:rPr>
          <w:rFonts w:hint="eastAsia" w:eastAsia="方正仿宋简体" w:cs="Times New Roman"/>
          <w:color w:val="000000"/>
          <w:sz w:val="32"/>
          <w:szCs w:val="32"/>
        </w:rPr>
        <w:t>，</w:t>
      </w:r>
      <w:r>
        <w:rPr>
          <w:rFonts w:eastAsia="方正仿宋简体" w:cs="Times New Roman"/>
          <w:color w:val="000000"/>
          <w:sz w:val="32"/>
          <w:szCs w:val="32"/>
        </w:rPr>
        <w:t>我</w:t>
      </w:r>
      <w:r>
        <w:rPr>
          <w:rFonts w:hint="eastAsia" w:eastAsia="方正仿宋简体" w:cs="Times New Roman"/>
          <w:color w:val="000000"/>
          <w:sz w:val="32"/>
          <w:szCs w:val="32"/>
        </w:rPr>
        <w:t>局</w:t>
      </w:r>
      <w:r>
        <w:rPr>
          <w:rFonts w:eastAsia="方正仿宋简体" w:cs="Times New Roman"/>
          <w:color w:val="000000"/>
          <w:sz w:val="32"/>
          <w:szCs w:val="32"/>
        </w:rPr>
        <w:t>无政府性基金预算拨款支出。</w:t>
      </w:r>
    </w:p>
    <w:p>
      <w:pPr>
        <w:numPr>
          <w:ilvl w:val="0"/>
          <w:numId w:val="2"/>
        </w:numPr>
        <w:spacing w:line="600" w:lineRule="exact"/>
        <w:ind w:firstLine="640"/>
        <w:outlineLvl w:val="1"/>
        <w:rPr>
          <w:rStyle w:val="20"/>
          <w:rFonts w:ascii="Times New Roman" w:hAnsi="Times New Roman" w:eastAsia="黑体" w:cs="Times New Roman"/>
          <w:b w:val="0"/>
          <w:color w:val="000000"/>
        </w:rPr>
      </w:pPr>
      <w:bookmarkStart w:id="205" w:name="_Toc15377219"/>
      <w:bookmarkStart w:id="206" w:name="_Toc80806121"/>
      <w:bookmarkStart w:id="207" w:name="_Toc15261_WPSOffice_Level2"/>
      <w:bookmarkStart w:id="208" w:name="_Toc16154369"/>
      <w:bookmarkStart w:id="209" w:name="_Toc80805988"/>
      <w:bookmarkStart w:id="210" w:name="_Toc81232263"/>
      <w:r>
        <w:rPr>
          <w:rStyle w:val="20"/>
          <w:rFonts w:ascii="Times New Roman" w:hAnsi="Times New Roman" w:eastAsia="黑体" w:cs="Times New Roman"/>
          <w:b w:val="0"/>
          <w:color w:val="000000"/>
        </w:rPr>
        <w:t>国有资本经营预算支出决算情况说明</w:t>
      </w:r>
      <w:bookmarkEnd w:id="205"/>
      <w:bookmarkEnd w:id="206"/>
      <w:bookmarkEnd w:id="207"/>
      <w:bookmarkEnd w:id="208"/>
      <w:bookmarkEnd w:id="209"/>
      <w:bookmarkEnd w:id="210"/>
    </w:p>
    <w:p>
      <w:pPr>
        <w:spacing w:line="600" w:lineRule="exact"/>
        <w:ind w:firstLine="640"/>
        <w:rPr>
          <w:rFonts w:eastAsia="方正仿宋简体" w:cs="Times New Roman"/>
          <w:color w:val="000000"/>
          <w:sz w:val="32"/>
          <w:szCs w:val="32"/>
        </w:rPr>
      </w:pPr>
      <w:r>
        <w:rPr>
          <w:rFonts w:eastAsia="方正仿宋简体" w:cs="Times New Roman"/>
          <w:color w:val="000000"/>
          <w:sz w:val="32"/>
          <w:szCs w:val="32"/>
        </w:rPr>
        <w:t>20</w:t>
      </w:r>
      <w:r>
        <w:rPr>
          <w:rFonts w:hint="eastAsia" w:eastAsia="方正仿宋简体" w:cs="Times New Roman"/>
          <w:color w:val="000000"/>
          <w:sz w:val="32"/>
          <w:szCs w:val="32"/>
        </w:rPr>
        <w:t>20</w:t>
      </w:r>
      <w:r>
        <w:rPr>
          <w:rFonts w:eastAsia="方正仿宋简体" w:cs="Times New Roman"/>
          <w:color w:val="000000"/>
          <w:sz w:val="32"/>
          <w:szCs w:val="32"/>
        </w:rPr>
        <w:t>年</w:t>
      </w:r>
      <w:r>
        <w:rPr>
          <w:rFonts w:hint="eastAsia" w:eastAsia="方正仿宋简体" w:cs="Times New Roman"/>
          <w:color w:val="000000"/>
          <w:sz w:val="32"/>
          <w:szCs w:val="32"/>
        </w:rPr>
        <w:t>，</w:t>
      </w:r>
      <w:r>
        <w:rPr>
          <w:rFonts w:eastAsia="方正仿宋简体" w:cs="Times New Roman"/>
          <w:color w:val="000000"/>
          <w:sz w:val="32"/>
          <w:szCs w:val="32"/>
        </w:rPr>
        <w:t>我</w:t>
      </w:r>
      <w:r>
        <w:rPr>
          <w:rFonts w:hint="eastAsia" w:eastAsia="方正仿宋简体" w:cs="Times New Roman"/>
          <w:color w:val="000000"/>
          <w:sz w:val="32"/>
          <w:szCs w:val="32"/>
        </w:rPr>
        <w:t>局</w:t>
      </w:r>
      <w:r>
        <w:rPr>
          <w:rFonts w:eastAsia="方正仿宋简体" w:cs="Times New Roman"/>
          <w:color w:val="000000"/>
          <w:sz w:val="32"/>
          <w:szCs w:val="32"/>
        </w:rPr>
        <w:t>无国有资本经营预算</w:t>
      </w:r>
      <w:r>
        <w:rPr>
          <w:rFonts w:hint="eastAsia" w:eastAsia="方正仿宋简体" w:cs="Times New Roman"/>
          <w:color w:val="000000"/>
          <w:sz w:val="32"/>
          <w:szCs w:val="32"/>
        </w:rPr>
        <w:t>财政</w:t>
      </w:r>
      <w:r>
        <w:rPr>
          <w:rFonts w:eastAsia="方正仿宋简体" w:cs="Times New Roman"/>
          <w:color w:val="000000"/>
          <w:sz w:val="32"/>
          <w:szCs w:val="32"/>
        </w:rPr>
        <w:t>拨款支出。</w:t>
      </w:r>
    </w:p>
    <w:p>
      <w:pPr>
        <w:spacing w:line="600" w:lineRule="exact"/>
        <w:outlineLvl w:val="1"/>
        <w:rPr>
          <w:rStyle w:val="20"/>
          <w:rFonts w:ascii="Times New Roman" w:hAnsi="Times New Roman" w:eastAsia="黑体" w:cs="Times New Roman"/>
          <w:b w:val="0"/>
          <w:color w:val="000000"/>
        </w:rPr>
      </w:pPr>
      <w:r>
        <w:rPr>
          <w:rStyle w:val="20"/>
          <w:rFonts w:ascii="Times New Roman" w:hAnsi="Times New Roman" w:eastAsia="黑体" w:cs="Times New Roman"/>
          <w:b w:val="0"/>
          <w:color w:val="000000"/>
        </w:rPr>
        <w:t xml:space="preserve">    </w:t>
      </w:r>
      <w:bookmarkStart w:id="211" w:name="_Toc11399_WPSOffice_Level2"/>
      <w:bookmarkStart w:id="212" w:name="_Toc81232264"/>
      <w:bookmarkStart w:id="213" w:name="_Toc80806122"/>
      <w:bookmarkStart w:id="214" w:name="_Toc80805989"/>
      <w:r>
        <w:rPr>
          <w:rStyle w:val="20"/>
          <w:rFonts w:ascii="Times New Roman" w:hAnsi="Times New Roman" w:eastAsia="黑体" w:cs="Times New Roman"/>
          <w:b w:val="0"/>
          <w:color w:val="000000"/>
        </w:rPr>
        <w:t>十</w:t>
      </w:r>
      <w:r>
        <w:rPr>
          <w:rStyle w:val="20"/>
          <w:rFonts w:ascii="Times New Roman" w:hAnsi="Times New Roman" w:cs="Times New Roman"/>
          <w:b w:val="0"/>
          <w:color w:val="000000"/>
        </w:rPr>
        <w:t>、</w:t>
      </w:r>
      <w:r>
        <w:rPr>
          <w:rStyle w:val="20"/>
          <w:rFonts w:ascii="Times New Roman" w:hAnsi="Times New Roman" w:eastAsia="黑体" w:cs="Times New Roman"/>
          <w:b w:val="0"/>
          <w:color w:val="000000"/>
        </w:rPr>
        <w:t>其他重要事项的情况说明</w:t>
      </w:r>
      <w:bookmarkEnd w:id="211"/>
      <w:bookmarkEnd w:id="212"/>
      <w:bookmarkEnd w:id="213"/>
      <w:bookmarkEnd w:id="214"/>
    </w:p>
    <w:p>
      <w:pPr>
        <w:spacing w:line="600" w:lineRule="exact"/>
        <w:ind w:firstLine="640" w:firstLineChars="200"/>
        <w:outlineLvl w:val="2"/>
        <w:rPr>
          <w:rFonts w:eastAsia="楷体" w:cs="Times New Roman"/>
          <w:color w:val="000000"/>
          <w:sz w:val="32"/>
          <w:szCs w:val="32"/>
        </w:rPr>
      </w:pPr>
      <w:bookmarkStart w:id="215" w:name="_Toc22741_WPSOffice_Level3"/>
      <w:bookmarkStart w:id="216" w:name="_Toc13778_WPSOffice_Level3"/>
      <w:bookmarkStart w:id="217" w:name="_Toc15377222"/>
      <w:bookmarkStart w:id="218" w:name="_Toc15852_WPSOffice_Level3"/>
      <w:bookmarkStart w:id="219" w:name="_Toc2285_WPSOffice_Level3"/>
      <w:bookmarkStart w:id="220" w:name="_Toc29501_WPSOffice_Level3"/>
      <w:bookmarkStart w:id="221" w:name="_Toc80805990"/>
      <w:bookmarkStart w:id="222" w:name="_Toc19803_WPSOffice_Level3"/>
      <w:bookmarkStart w:id="223" w:name="_Toc22020_WPSOffice_Level3"/>
      <w:bookmarkStart w:id="224" w:name="_Toc18058_WPSOffice_Level3"/>
      <w:bookmarkStart w:id="225" w:name="_Toc80815026"/>
      <w:bookmarkStart w:id="226" w:name="_Toc80806123"/>
      <w:bookmarkStart w:id="227" w:name="_Toc81232265"/>
      <w:r>
        <w:rPr>
          <w:rFonts w:eastAsia="楷体" w:cs="Times New Roman"/>
          <w:color w:val="000000"/>
          <w:sz w:val="32"/>
          <w:szCs w:val="32"/>
        </w:rPr>
        <w:t>（一）机关运行经费支出情况</w:t>
      </w:r>
      <w:bookmarkEnd w:id="215"/>
      <w:bookmarkEnd w:id="216"/>
      <w:bookmarkEnd w:id="217"/>
      <w:bookmarkEnd w:id="218"/>
      <w:bookmarkEnd w:id="219"/>
      <w:bookmarkEnd w:id="220"/>
      <w:bookmarkEnd w:id="221"/>
      <w:bookmarkEnd w:id="222"/>
      <w:bookmarkEnd w:id="223"/>
      <w:bookmarkEnd w:id="224"/>
      <w:bookmarkEnd w:id="225"/>
      <w:bookmarkEnd w:id="226"/>
      <w:bookmarkEnd w:id="227"/>
    </w:p>
    <w:p>
      <w:pPr>
        <w:spacing w:line="600" w:lineRule="exact"/>
        <w:ind w:firstLine="640" w:firstLineChars="200"/>
        <w:rPr>
          <w:rFonts w:eastAsia="方正仿宋简体" w:cs="Times New Roman"/>
          <w:color w:val="000000"/>
          <w:sz w:val="32"/>
          <w:szCs w:val="32"/>
        </w:rPr>
      </w:pPr>
      <w:r>
        <w:rPr>
          <w:rFonts w:eastAsia="方正仿宋简体" w:cs="Times New Roman"/>
          <w:color w:val="000000"/>
          <w:sz w:val="32"/>
          <w:szCs w:val="32"/>
        </w:rPr>
        <w:t>2020年，</w:t>
      </w:r>
      <w:r>
        <w:rPr>
          <w:rFonts w:hint="eastAsia" w:eastAsia="方正仿宋简体" w:cs="Times New Roman"/>
          <w:color w:val="000000"/>
          <w:sz w:val="32"/>
          <w:szCs w:val="32"/>
        </w:rPr>
        <w:t>我局</w:t>
      </w:r>
      <w:r>
        <w:rPr>
          <w:rFonts w:eastAsia="方正仿宋简体" w:cs="Times New Roman"/>
          <w:color w:val="000000"/>
          <w:sz w:val="32"/>
          <w:szCs w:val="32"/>
        </w:rPr>
        <w:t>机关运行经费支出</w:t>
      </w:r>
      <w:r>
        <w:rPr>
          <w:rFonts w:hint="eastAsia" w:eastAsia="方正仿宋简体" w:cs="Times New Roman"/>
          <w:color w:val="000000"/>
          <w:sz w:val="32"/>
          <w:szCs w:val="32"/>
        </w:rPr>
        <w:t>19.30</w:t>
      </w:r>
      <w:r>
        <w:rPr>
          <w:rFonts w:eastAsia="方正仿宋简体" w:cs="Times New Roman"/>
          <w:color w:val="000000"/>
          <w:sz w:val="32"/>
          <w:szCs w:val="32"/>
        </w:rPr>
        <w:t>万元，比2019年减少</w:t>
      </w:r>
      <w:r>
        <w:rPr>
          <w:rFonts w:hint="eastAsia" w:eastAsia="方正仿宋简体" w:cs="Times New Roman"/>
          <w:color w:val="000000"/>
          <w:sz w:val="32"/>
          <w:szCs w:val="32"/>
        </w:rPr>
        <w:t>7.54</w:t>
      </w:r>
      <w:r>
        <w:rPr>
          <w:rFonts w:eastAsia="方正仿宋简体" w:cs="Times New Roman"/>
          <w:color w:val="000000"/>
          <w:sz w:val="32"/>
          <w:szCs w:val="32"/>
        </w:rPr>
        <w:t>万元，下降</w:t>
      </w:r>
      <w:r>
        <w:rPr>
          <w:rFonts w:hint="eastAsia" w:eastAsia="方正仿宋简体" w:cs="Times New Roman"/>
          <w:color w:val="000000"/>
          <w:sz w:val="32"/>
          <w:szCs w:val="32"/>
        </w:rPr>
        <w:t>28.09</w:t>
      </w:r>
      <w:r>
        <w:rPr>
          <w:rFonts w:eastAsia="方正仿宋简体" w:cs="Times New Roman"/>
          <w:color w:val="000000"/>
          <w:sz w:val="32"/>
          <w:szCs w:val="32"/>
        </w:rPr>
        <w:t>%。主要原因是</w:t>
      </w:r>
      <w:bookmarkStart w:id="228" w:name="_Toc27777_WPSOffice_Level3"/>
      <w:bookmarkStart w:id="229" w:name="_Toc10757_WPSOffice_Level3"/>
      <w:bookmarkStart w:id="230" w:name="_Toc15377223"/>
      <w:bookmarkStart w:id="231" w:name="_Toc14923_WPSOffice_Level3"/>
      <w:bookmarkStart w:id="232" w:name="_Toc20539_WPSOffice_Level3"/>
      <w:bookmarkStart w:id="233" w:name="_Toc14723_WPSOffice_Level3"/>
      <w:bookmarkStart w:id="234" w:name="_Toc16173_WPSOffice_Level3"/>
      <w:r>
        <w:rPr>
          <w:rStyle w:val="15"/>
          <w:rFonts w:eastAsia="方正仿宋简体" w:cs="Times New Roman"/>
          <w:b w:val="0"/>
          <w:bCs/>
          <w:color w:val="000000"/>
          <w:sz w:val="32"/>
          <w:szCs w:val="32"/>
        </w:rPr>
        <w:t>积极贯彻落实中央八项规定及省委省政府十项规定要求，加强公用经费管理</w:t>
      </w:r>
      <w:r>
        <w:rPr>
          <w:rFonts w:eastAsia="方正仿宋简体" w:cs="Times New Roman"/>
          <w:color w:val="000000"/>
          <w:sz w:val="32"/>
          <w:szCs w:val="32"/>
        </w:rPr>
        <w:t>。</w:t>
      </w:r>
      <w:bookmarkStart w:id="235" w:name="_Toc877_WPSOffice_Level3"/>
      <w:bookmarkStart w:id="236" w:name="_Toc12205_WPSOffice_Level3"/>
    </w:p>
    <w:p>
      <w:pPr>
        <w:spacing w:line="600" w:lineRule="exact"/>
        <w:ind w:firstLine="640" w:firstLineChars="200"/>
        <w:rPr>
          <w:rFonts w:eastAsia="楷体" w:cs="Times New Roman"/>
          <w:color w:val="000000"/>
          <w:sz w:val="32"/>
          <w:szCs w:val="32"/>
        </w:rPr>
      </w:pPr>
      <w:r>
        <w:rPr>
          <w:rFonts w:eastAsia="楷体" w:cs="Times New Roman"/>
          <w:color w:val="000000"/>
          <w:sz w:val="32"/>
          <w:szCs w:val="32"/>
        </w:rPr>
        <w:t>（二）政府采购支出情况</w:t>
      </w:r>
      <w:bookmarkEnd w:id="228"/>
      <w:bookmarkEnd w:id="229"/>
      <w:bookmarkEnd w:id="230"/>
      <w:bookmarkEnd w:id="231"/>
      <w:bookmarkEnd w:id="232"/>
      <w:bookmarkEnd w:id="233"/>
      <w:bookmarkEnd w:id="234"/>
      <w:bookmarkEnd w:id="235"/>
      <w:bookmarkEnd w:id="236"/>
    </w:p>
    <w:p>
      <w:pPr>
        <w:snapToGrid w:val="0"/>
        <w:spacing w:line="600" w:lineRule="atLeast"/>
        <w:ind w:firstLine="640" w:firstLineChars="200"/>
        <w:rPr>
          <w:rFonts w:eastAsia="方正仿宋简体" w:cs="Times New Roman"/>
          <w:color w:val="000000"/>
          <w:sz w:val="32"/>
          <w:szCs w:val="32"/>
        </w:rPr>
      </w:pPr>
      <w:r>
        <w:rPr>
          <w:rFonts w:eastAsia="方正仿宋简体" w:cs="Times New Roman"/>
          <w:color w:val="000000"/>
          <w:sz w:val="32"/>
          <w:szCs w:val="32"/>
        </w:rPr>
        <w:t>20</w:t>
      </w:r>
      <w:r>
        <w:rPr>
          <w:rFonts w:hint="eastAsia" w:eastAsia="方正仿宋简体" w:cs="Times New Roman"/>
          <w:color w:val="000000"/>
          <w:sz w:val="32"/>
          <w:szCs w:val="32"/>
        </w:rPr>
        <w:t>20</w:t>
      </w:r>
      <w:r>
        <w:rPr>
          <w:rFonts w:eastAsia="方正仿宋简体" w:cs="Times New Roman"/>
          <w:color w:val="000000"/>
          <w:sz w:val="32"/>
          <w:szCs w:val="32"/>
        </w:rPr>
        <w:t>年，</w:t>
      </w:r>
      <w:r>
        <w:rPr>
          <w:rFonts w:hint="eastAsia" w:eastAsia="方正仿宋简体" w:cs="Times New Roman"/>
          <w:color w:val="000000"/>
          <w:sz w:val="32"/>
          <w:szCs w:val="32"/>
        </w:rPr>
        <w:t>我局</w:t>
      </w:r>
      <w:r>
        <w:rPr>
          <w:rFonts w:eastAsia="方正仿宋简体" w:cs="Times New Roman"/>
          <w:color w:val="000000"/>
          <w:sz w:val="32"/>
          <w:szCs w:val="32"/>
        </w:rPr>
        <w:t>政府采购支出总额</w:t>
      </w:r>
      <w:r>
        <w:rPr>
          <w:rFonts w:hint="eastAsia" w:eastAsia="方正仿宋简体" w:cs="Times New Roman"/>
          <w:color w:val="000000"/>
          <w:sz w:val="32"/>
          <w:szCs w:val="32"/>
        </w:rPr>
        <w:t>1.12</w:t>
      </w:r>
      <w:r>
        <w:rPr>
          <w:rFonts w:eastAsia="方正仿宋简体" w:cs="Times New Roman"/>
          <w:color w:val="000000"/>
          <w:sz w:val="32"/>
          <w:szCs w:val="32"/>
        </w:rPr>
        <w:t>万元，其中：政府采购货物支出</w:t>
      </w:r>
      <w:r>
        <w:rPr>
          <w:rFonts w:hint="eastAsia" w:eastAsia="方正仿宋简体" w:cs="Times New Roman"/>
          <w:color w:val="000000"/>
          <w:sz w:val="32"/>
          <w:szCs w:val="32"/>
        </w:rPr>
        <w:t>0</w:t>
      </w:r>
      <w:r>
        <w:rPr>
          <w:rFonts w:eastAsia="方正仿宋简体" w:cs="Times New Roman"/>
          <w:color w:val="000000"/>
          <w:sz w:val="32"/>
          <w:szCs w:val="32"/>
        </w:rPr>
        <w:t>万元、政府采购工程支出0万元、政府采购服务支出</w:t>
      </w:r>
      <w:r>
        <w:rPr>
          <w:rFonts w:hint="eastAsia" w:eastAsia="方正仿宋简体" w:cs="Times New Roman"/>
          <w:color w:val="000000"/>
          <w:sz w:val="32"/>
          <w:szCs w:val="32"/>
        </w:rPr>
        <w:t>1.12</w:t>
      </w:r>
      <w:r>
        <w:rPr>
          <w:rFonts w:eastAsia="方正仿宋简体" w:cs="Times New Roman"/>
          <w:color w:val="000000"/>
          <w:sz w:val="32"/>
          <w:szCs w:val="32"/>
        </w:rPr>
        <w:t>万元</w:t>
      </w:r>
      <w:r>
        <w:rPr>
          <w:rFonts w:hint="eastAsia" w:eastAsia="方正仿宋简体" w:cs="Times New Roman"/>
          <w:color w:val="000000"/>
          <w:sz w:val="32"/>
          <w:szCs w:val="32"/>
        </w:rPr>
        <w:t>，</w:t>
      </w:r>
      <w:r>
        <w:rPr>
          <w:rFonts w:eastAsia="方正仿宋简体" w:cs="Times New Roman"/>
          <w:color w:val="000000"/>
          <w:sz w:val="32"/>
          <w:szCs w:val="32"/>
        </w:rPr>
        <w:t>主要用于</w:t>
      </w:r>
      <w:r>
        <w:rPr>
          <w:rFonts w:hint="eastAsia" w:eastAsia="方正仿宋简体" w:cs="Times New Roman"/>
          <w:color w:val="000000"/>
          <w:sz w:val="32"/>
          <w:szCs w:val="32"/>
        </w:rPr>
        <w:t>租用车辆</w:t>
      </w:r>
      <w:r>
        <w:rPr>
          <w:rFonts w:eastAsia="方正仿宋简体" w:cs="Times New Roman"/>
          <w:color w:val="000000"/>
          <w:sz w:val="32"/>
          <w:szCs w:val="32"/>
        </w:rPr>
        <w:t>支出。</w:t>
      </w:r>
      <w:r>
        <w:rPr>
          <w:rFonts w:hint="eastAsia" w:eastAsia="方正仿宋简体" w:cs="Times New Roman"/>
          <w:color w:val="000000"/>
          <w:sz w:val="32"/>
          <w:szCs w:val="32"/>
        </w:rPr>
        <w:t>因受采购货物和服务类型的限制，本年度授予中小企业合同金额0万元，占政府采购支出总额的0</w:t>
      </w:r>
      <w:r>
        <w:rPr>
          <w:rFonts w:eastAsia="方正仿宋简体" w:cs="Times New Roman"/>
          <w:color w:val="000000"/>
          <w:sz w:val="32"/>
          <w:szCs w:val="32"/>
        </w:rPr>
        <w:t>%</w:t>
      </w:r>
      <w:r>
        <w:rPr>
          <w:rFonts w:hint="eastAsia" w:eastAsia="方正仿宋简体" w:cs="Times New Roman"/>
          <w:color w:val="000000"/>
          <w:sz w:val="32"/>
          <w:szCs w:val="32"/>
        </w:rPr>
        <w:t>，其中：授予小微企业合同金额0万元，占政府采购支出总额的0</w:t>
      </w:r>
      <w:r>
        <w:rPr>
          <w:rFonts w:eastAsia="方正仿宋简体" w:cs="Times New Roman"/>
          <w:color w:val="000000"/>
          <w:sz w:val="32"/>
          <w:szCs w:val="32"/>
        </w:rPr>
        <w:t>%</w:t>
      </w:r>
      <w:r>
        <w:rPr>
          <w:rFonts w:hint="eastAsia" w:eastAsia="方正仿宋简体" w:cs="Times New Roman"/>
          <w:color w:val="000000"/>
          <w:sz w:val="32"/>
          <w:szCs w:val="32"/>
        </w:rPr>
        <w:t xml:space="preserve">。                                                                                                                                                                                                                                                                                                                                                                                                                                                                                                                                                                                                                               </w:t>
      </w:r>
    </w:p>
    <w:p>
      <w:pPr>
        <w:autoSpaceDE w:val="0"/>
        <w:autoSpaceDN w:val="0"/>
        <w:adjustRightInd w:val="0"/>
        <w:spacing w:line="600" w:lineRule="exact"/>
        <w:ind w:firstLine="640" w:firstLineChars="200"/>
        <w:jc w:val="left"/>
        <w:outlineLvl w:val="2"/>
        <w:rPr>
          <w:rFonts w:eastAsia="楷体" w:cs="Times New Roman"/>
          <w:color w:val="000000"/>
          <w:sz w:val="32"/>
          <w:szCs w:val="32"/>
        </w:rPr>
      </w:pPr>
      <w:bookmarkStart w:id="237" w:name="_Toc22484_WPSOffice_Level3"/>
      <w:bookmarkStart w:id="238" w:name="_Toc15377224"/>
      <w:bookmarkStart w:id="239" w:name="_Toc6439_WPSOffice_Level3"/>
      <w:bookmarkStart w:id="240" w:name="_Toc80806124"/>
      <w:bookmarkStart w:id="241" w:name="_Toc19456_WPSOffice_Level3"/>
      <w:bookmarkStart w:id="242" w:name="_Toc15676_WPSOffice_Level3"/>
      <w:bookmarkStart w:id="243" w:name="_Toc228_WPSOffice_Level3"/>
      <w:bookmarkStart w:id="244" w:name="_Toc22886_WPSOffice_Level3"/>
      <w:bookmarkStart w:id="245" w:name="_Toc5738_WPSOffice_Level3"/>
      <w:bookmarkStart w:id="246" w:name="_Toc27594_WPSOffice_Level3"/>
      <w:bookmarkStart w:id="247" w:name="_Toc80805991"/>
      <w:bookmarkStart w:id="248" w:name="_Toc81232266"/>
      <w:bookmarkStart w:id="249" w:name="_Toc80815027"/>
      <w:r>
        <w:rPr>
          <w:rFonts w:eastAsia="楷体" w:cs="Times New Roman"/>
          <w:color w:val="000000"/>
          <w:sz w:val="32"/>
          <w:szCs w:val="32"/>
        </w:rPr>
        <w:t>（三）国有资产占有使用情况</w:t>
      </w:r>
      <w:bookmarkEnd w:id="237"/>
      <w:bookmarkEnd w:id="238"/>
      <w:bookmarkEnd w:id="239"/>
      <w:bookmarkEnd w:id="240"/>
      <w:bookmarkEnd w:id="241"/>
      <w:bookmarkEnd w:id="242"/>
      <w:bookmarkEnd w:id="243"/>
      <w:bookmarkEnd w:id="244"/>
      <w:bookmarkEnd w:id="245"/>
      <w:bookmarkEnd w:id="246"/>
      <w:bookmarkEnd w:id="247"/>
      <w:bookmarkEnd w:id="248"/>
      <w:bookmarkEnd w:id="249"/>
    </w:p>
    <w:p>
      <w:pPr>
        <w:spacing w:line="600" w:lineRule="exact"/>
        <w:ind w:firstLine="640" w:firstLineChars="200"/>
        <w:rPr>
          <w:rFonts w:eastAsia="方正仿宋简体" w:cs="Times New Roman"/>
          <w:color w:val="000000"/>
          <w:sz w:val="32"/>
          <w:szCs w:val="32"/>
        </w:rPr>
      </w:pPr>
      <w:r>
        <w:rPr>
          <w:rFonts w:eastAsia="方正仿宋简体" w:cs="Times New Roman"/>
          <w:color w:val="000000"/>
          <w:sz w:val="32"/>
          <w:szCs w:val="32"/>
        </w:rPr>
        <w:t>截至20</w:t>
      </w:r>
      <w:r>
        <w:rPr>
          <w:rFonts w:hint="eastAsia" w:eastAsia="方正仿宋简体" w:cs="Times New Roman"/>
          <w:color w:val="000000"/>
          <w:sz w:val="32"/>
          <w:szCs w:val="32"/>
        </w:rPr>
        <w:t>20</w:t>
      </w:r>
      <w:r>
        <w:rPr>
          <w:rFonts w:eastAsia="方正仿宋简体" w:cs="Times New Roman"/>
          <w:color w:val="000000"/>
          <w:sz w:val="32"/>
          <w:szCs w:val="32"/>
        </w:rPr>
        <w:t>年12月31日，</w:t>
      </w:r>
      <w:r>
        <w:rPr>
          <w:rFonts w:hint="eastAsia" w:eastAsia="方正仿宋简体" w:cs="Times New Roman"/>
          <w:color w:val="000000"/>
          <w:sz w:val="32"/>
          <w:szCs w:val="32"/>
        </w:rPr>
        <w:t>我局</w:t>
      </w:r>
      <w:r>
        <w:rPr>
          <w:rFonts w:eastAsia="方正仿宋简体" w:cs="Times New Roman"/>
          <w:color w:val="000000"/>
          <w:sz w:val="32"/>
          <w:szCs w:val="32"/>
        </w:rPr>
        <w:t>共有车辆</w:t>
      </w:r>
      <w:r>
        <w:rPr>
          <w:rFonts w:hint="eastAsia" w:eastAsia="方正仿宋简体" w:cs="Times New Roman"/>
          <w:color w:val="000000"/>
          <w:sz w:val="32"/>
          <w:szCs w:val="32"/>
        </w:rPr>
        <w:t>0</w:t>
      </w:r>
      <w:r>
        <w:rPr>
          <w:rFonts w:eastAsia="方正仿宋简体" w:cs="Times New Roman"/>
          <w:color w:val="000000"/>
          <w:sz w:val="32"/>
          <w:szCs w:val="32"/>
        </w:rPr>
        <w:t>辆。单价50万元以上通用设备0台（套），单价100万元以上专用设备</w:t>
      </w:r>
      <w:r>
        <w:rPr>
          <w:rFonts w:hint="eastAsia" w:eastAsia="方正仿宋简体" w:cs="Times New Roman"/>
          <w:color w:val="000000"/>
          <w:sz w:val="32"/>
          <w:szCs w:val="32"/>
        </w:rPr>
        <w:t>0</w:t>
      </w:r>
      <w:r>
        <w:rPr>
          <w:rFonts w:eastAsia="方正仿宋简体" w:cs="Times New Roman"/>
          <w:color w:val="000000"/>
          <w:sz w:val="32"/>
          <w:szCs w:val="32"/>
        </w:rPr>
        <w:t>台（套）。</w:t>
      </w:r>
    </w:p>
    <w:p>
      <w:pPr>
        <w:autoSpaceDE w:val="0"/>
        <w:autoSpaceDN w:val="0"/>
        <w:adjustRightInd w:val="0"/>
        <w:spacing w:line="600" w:lineRule="exact"/>
        <w:ind w:firstLine="640" w:firstLineChars="200"/>
        <w:jc w:val="left"/>
        <w:outlineLvl w:val="2"/>
        <w:rPr>
          <w:rFonts w:eastAsia="楷体" w:cs="Times New Roman"/>
          <w:color w:val="000000"/>
          <w:sz w:val="32"/>
          <w:szCs w:val="32"/>
        </w:rPr>
      </w:pPr>
      <w:bookmarkStart w:id="250" w:name="_Toc80805992"/>
      <w:bookmarkStart w:id="251" w:name="_Toc25780_WPSOffice_Level3"/>
      <w:bookmarkStart w:id="252" w:name="_Toc5929_WPSOffice_Level3"/>
      <w:bookmarkStart w:id="253" w:name="_Toc80815028"/>
      <w:bookmarkStart w:id="254" w:name="_Toc80806125"/>
      <w:bookmarkStart w:id="255" w:name="_Toc81232267"/>
      <w:r>
        <w:rPr>
          <w:rFonts w:eastAsia="楷体" w:cs="Times New Roman"/>
          <w:color w:val="000000"/>
          <w:sz w:val="32"/>
          <w:szCs w:val="32"/>
        </w:rPr>
        <w:t>（四）预算绩效管理情况</w:t>
      </w:r>
      <w:bookmarkEnd w:id="250"/>
      <w:bookmarkEnd w:id="251"/>
      <w:bookmarkEnd w:id="252"/>
      <w:bookmarkEnd w:id="253"/>
      <w:bookmarkEnd w:id="254"/>
      <w:bookmarkEnd w:id="255"/>
    </w:p>
    <w:p>
      <w:pPr>
        <w:spacing w:line="600" w:lineRule="exact"/>
        <w:ind w:firstLine="640" w:firstLineChars="200"/>
        <w:rPr>
          <w:rFonts w:eastAsia="方正仿宋简体" w:cs="Times New Roman"/>
          <w:color w:val="000000"/>
          <w:sz w:val="32"/>
          <w:szCs w:val="32"/>
        </w:rPr>
      </w:pPr>
      <w:r>
        <w:rPr>
          <w:rFonts w:eastAsia="方正仿宋简体" w:cs="Times New Roman"/>
          <w:color w:val="000000"/>
          <w:sz w:val="32"/>
          <w:szCs w:val="32"/>
        </w:rPr>
        <w:t>根据预算绩效管理要求，</w:t>
      </w:r>
      <w:r>
        <w:rPr>
          <w:rFonts w:hint="eastAsia" w:eastAsia="方正仿宋简体" w:cs="Times New Roman"/>
          <w:color w:val="000000"/>
          <w:sz w:val="32"/>
          <w:szCs w:val="32"/>
        </w:rPr>
        <w:t>我局</w:t>
      </w:r>
      <w:r>
        <w:rPr>
          <w:rFonts w:eastAsia="方正仿宋简体" w:cs="Times New Roman"/>
          <w:color w:val="000000"/>
          <w:sz w:val="32"/>
          <w:szCs w:val="32"/>
        </w:rPr>
        <w:t>在</w:t>
      </w:r>
      <w:r>
        <w:rPr>
          <w:rFonts w:hint="eastAsia" w:eastAsia="方正仿宋简体" w:cs="Times New Roman"/>
          <w:color w:val="000000"/>
          <w:sz w:val="32"/>
          <w:szCs w:val="32"/>
        </w:rPr>
        <w:t>2020年度</w:t>
      </w:r>
      <w:r>
        <w:rPr>
          <w:rFonts w:eastAsia="方正仿宋简体" w:cs="Times New Roman"/>
          <w:color w:val="000000"/>
          <w:sz w:val="32"/>
          <w:szCs w:val="32"/>
        </w:rPr>
        <w:t>预算编制阶段，</w:t>
      </w:r>
      <w:r>
        <w:rPr>
          <w:rFonts w:hint="eastAsia" w:eastAsia="方正仿宋简体" w:cs="Times New Roman"/>
          <w:color w:val="000000"/>
          <w:sz w:val="32"/>
          <w:szCs w:val="32"/>
        </w:rPr>
        <w:t>无</w:t>
      </w:r>
      <w:r>
        <w:rPr>
          <w:rFonts w:eastAsia="方正仿宋简体" w:cs="Times New Roman"/>
          <w:color w:val="000000"/>
          <w:sz w:val="32"/>
          <w:szCs w:val="32"/>
        </w:rPr>
        <w:t>预算事前绩效评估</w:t>
      </w:r>
      <w:r>
        <w:rPr>
          <w:rFonts w:hint="eastAsia" w:eastAsia="方正仿宋简体" w:cs="Times New Roman"/>
          <w:color w:val="000000"/>
          <w:sz w:val="32"/>
          <w:szCs w:val="32"/>
        </w:rPr>
        <w:t>项目。</w:t>
      </w:r>
    </w:p>
    <w:p>
      <w:pPr>
        <w:spacing w:line="600" w:lineRule="exact"/>
        <w:ind w:firstLine="640" w:firstLineChars="200"/>
        <w:rPr>
          <w:rFonts w:hint="eastAsia" w:eastAsia="方正仿宋简体" w:cs="Times New Roman"/>
          <w:color w:val="000000"/>
          <w:sz w:val="32"/>
          <w:szCs w:val="32"/>
        </w:rPr>
      </w:pPr>
      <w:r>
        <w:rPr>
          <w:rFonts w:hint="eastAsia" w:eastAsia="方正仿宋简体" w:cs="Times New Roman"/>
          <w:color w:val="000000"/>
          <w:sz w:val="32"/>
          <w:szCs w:val="32"/>
        </w:rPr>
        <w:t>我局自行组织对1个项目“事业单位登记管理专项经费”支出进行了绩效评价，从评价情况来看：本项目绩效目标制定准确、预算编制规范、支出控制有序、绩效目标实现情况较好。</w:t>
      </w:r>
    </w:p>
    <w:p>
      <w:pPr>
        <w:spacing w:line="600" w:lineRule="exact"/>
        <w:ind w:firstLine="640" w:firstLineChars="200"/>
        <w:rPr>
          <w:rFonts w:hint="eastAsia" w:eastAsia="方正仿宋简体" w:cs="Times New Roman"/>
          <w:color w:val="000000"/>
          <w:sz w:val="32"/>
          <w:szCs w:val="32"/>
        </w:rPr>
      </w:pPr>
      <w:r>
        <w:rPr>
          <w:rFonts w:hint="eastAsia" w:eastAsia="方正仿宋简体" w:cs="Times New Roman"/>
          <w:color w:val="000000"/>
          <w:sz w:val="32"/>
          <w:szCs w:val="32"/>
        </w:rPr>
        <w:t>1.单位项目绩效目标完成情况</w:t>
      </w:r>
    </w:p>
    <w:p>
      <w:pPr>
        <w:spacing w:line="600" w:lineRule="exact"/>
        <w:ind w:firstLine="640" w:firstLineChars="200"/>
        <w:rPr>
          <w:rFonts w:hint="eastAsia" w:eastAsia="方正仿宋简体" w:cs="Times New Roman"/>
          <w:color w:val="000000"/>
          <w:sz w:val="32"/>
          <w:szCs w:val="32"/>
        </w:rPr>
      </w:pPr>
      <w:r>
        <w:rPr>
          <w:rFonts w:hint="eastAsia" w:eastAsia="方正仿宋简体" w:cs="Times New Roman"/>
          <w:color w:val="000000"/>
          <w:sz w:val="32"/>
          <w:szCs w:val="32"/>
        </w:rPr>
        <w:t>“事业登记管理专项经费”项目绩效目标完成情况综述。项目全年预算数为27.90万元，执行数为26.13万元，完成预算的93.65%。通过项目实施，保障了事业登记管理相关业务工作的顺利开展。</w:t>
      </w:r>
    </w:p>
    <w:p>
      <w:pPr>
        <w:pStyle w:val="2"/>
        <w:spacing w:before="173"/>
        <w:rPr>
          <w:rFonts w:hint="eastAsia"/>
        </w:rPr>
      </w:pPr>
    </w:p>
    <w:p>
      <w:pPr>
        <w:pStyle w:val="2"/>
        <w:spacing w:before="173"/>
        <w:rPr>
          <w:rFonts w:hint="eastAsia"/>
        </w:rPr>
      </w:pPr>
    </w:p>
    <w:p>
      <w:pPr>
        <w:pStyle w:val="2"/>
        <w:spacing w:before="173"/>
        <w:rPr>
          <w:rFonts w:hint="eastAsia"/>
        </w:rPr>
      </w:pPr>
    </w:p>
    <w:p>
      <w:pPr>
        <w:pStyle w:val="2"/>
        <w:spacing w:before="173"/>
        <w:rPr>
          <w:rFonts w:hint="eastAsia"/>
        </w:rPr>
      </w:pPr>
    </w:p>
    <w:p>
      <w:pPr>
        <w:pStyle w:val="2"/>
        <w:spacing w:before="173"/>
        <w:rPr>
          <w:rFonts w:hint="eastAsia"/>
        </w:rPr>
      </w:pPr>
    </w:p>
    <w:p>
      <w:pPr>
        <w:pStyle w:val="2"/>
        <w:spacing w:before="173"/>
        <w:rPr>
          <w:rFonts w:hint="eastAsia"/>
        </w:rPr>
      </w:pPr>
    </w:p>
    <w:p>
      <w:pPr>
        <w:pStyle w:val="2"/>
        <w:spacing w:before="173"/>
        <w:rPr>
          <w:rFonts w:hint="eastAsia"/>
        </w:rPr>
      </w:pPr>
    </w:p>
    <w:p>
      <w:pPr>
        <w:pStyle w:val="2"/>
        <w:spacing w:before="173"/>
        <w:rPr>
          <w:rFonts w:hint="eastAsia"/>
        </w:rPr>
      </w:pPr>
    </w:p>
    <w:p>
      <w:pPr>
        <w:pStyle w:val="2"/>
        <w:spacing w:before="173"/>
        <w:rPr>
          <w:rFonts w:hint="eastAsia"/>
        </w:rPr>
      </w:pPr>
    </w:p>
    <w:p>
      <w:pPr>
        <w:pStyle w:val="2"/>
        <w:spacing w:before="173"/>
        <w:rPr>
          <w:rFonts w:hint="eastAsia"/>
        </w:rPr>
      </w:pPr>
    </w:p>
    <w:p>
      <w:pPr>
        <w:pStyle w:val="2"/>
        <w:spacing w:before="173"/>
        <w:rPr>
          <w:rFonts w:hint="eastAsia"/>
        </w:rPr>
      </w:pPr>
    </w:p>
    <w:tbl>
      <w:tblPr>
        <w:tblStyle w:val="12"/>
        <w:tblW w:w="10065" w:type="dxa"/>
        <w:tblInd w:w="-487" w:type="dxa"/>
        <w:tblLayout w:type="fixed"/>
        <w:tblCellMar>
          <w:top w:w="0" w:type="dxa"/>
          <w:left w:w="108" w:type="dxa"/>
          <w:bottom w:w="0" w:type="dxa"/>
          <w:right w:w="108" w:type="dxa"/>
        </w:tblCellMar>
      </w:tblPr>
      <w:tblGrid>
        <w:gridCol w:w="976"/>
        <w:gridCol w:w="1037"/>
        <w:gridCol w:w="664"/>
        <w:gridCol w:w="159"/>
        <w:gridCol w:w="1417"/>
        <w:gridCol w:w="1729"/>
        <w:gridCol w:w="823"/>
        <w:gridCol w:w="3260"/>
      </w:tblGrid>
      <w:tr>
        <w:tblPrEx>
          <w:tblCellMar>
            <w:top w:w="0" w:type="dxa"/>
            <w:left w:w="108" w:type="dxa"/>
            <w:bottom w:w="0" w:type="dxa"/>
            <w:right w:w="108" w:type="dxa"/>
          </w:tblCellMar>
        </w:tblPrEx>
        <w:trPr>
          <w:trHeight w:val="851" w:hRule="atLeast"/>
        </w:trPr>
        <w:tc>
          <w:tcPr>
            <w:tcW w:w="10065" w:type="dxa"/>
            <w:gridSpan w:val="8"/>
            <w:tcBorders>
              <w:top w:val="nil"/>
              <w:left w:val="nil"/>
              <w:bottom w:val="nil"/>
              <w:right w:val="nil"/>
            </w:tcBorders>
            <w:vAlign w:val="center"/>
          </w:tcPr>
          <w:p>
            <w:pPr>
              <w:widowControl/>
              <w:spacing w:line="240" w:lineRule="atLeast"/>
              <w:jc w:val="center"/>
              <w:rPr>
                <w:rFonts w:hint="eastAsia" w:cs="Times New Roman"/>
                <w:color w:val="000000"/>
                <w:kern w:val="0"/>
                <w:sz w:val="18"/>
                <w:szCs w:val="18"/>
              </w:rPr>
            </w:pPr>
            <w:r>
              <w:rPr>
                <w:rFonts w:eastAsia="方正小标宋_GBK" w:cs="Times New Roman"/>
                <w:color w:val="000000"/>
                <w:kern w:val="0"/>
                <w:sz w:val="32"/>
                <w:szCs w:val="32"/>
              </w:rPr>
              <w:t>项目支出绩效目标完成情况表</w:t>
            </w:r>
          </w:p>
          <w:p>
            <w:pPr>
              <w:widowControl/>
              <w:spacing w:line="240" w:lineRule="atLeast"/>
              <w:jc w:val="center"/>
              <w:rPr>
                <w:rFonts w:eastAsia="楷体" w:cs="Times New Roman"/>
                <w:color w:val="000000"/>
                <w:kern w:val="0"/>
                <w:sz w:val="30"/>
                <w:szCs w:val="30"/>
              </w:rPr>
            </w:pPr>
            <w:r>
              <w:rPr>
                <w:rFonts w:eastAsia="楷体" w:cs="Times New Roman"/>
                <w:color w:val="000000"/>
                <w:kern w:val="0"/>
                <w:sz w:val="30"/>
                <w:szCs w:val="30"/>
              </w:rPr>
              <w:t>(20</w:t>
            </w:r>
            <w:r>
              <w:rPr>
                <w:rFonts w:hint="eastAsia" w:eastAsia="楷体" w:cs="Times New Roman"/>
                <w:color w:val="000000"/>
                <w:kern w:val="0"/>
                <w:sz w:val="30"/>
                <w:szCs w:val="30"/>
              </w:rPr>
              <w:t>20</w:t>
            </w:r>
            <w:r>
              <w:rPr>
                <w:rFonts w:eastAsia="楷体" w:cs="Times New Roman"/>
                <w:color w:val="000000"/>
                <w:kern w:val="0"/>
                <w:sz w:val="30"/>
                <w:szCs w:val="30"/>
              </w:rPr>
              <w:t>年度)</w:t>
            </w:r>
          </w:p>
        </w:tc>
      </w:tr>
      <w:tr>
        <w:tblPrEx>
          <w:tblCellMar>
            <w:top w:w="0" w:type="dxa"/>
            <w:left w:w="108" w:type="dxa"/>
            <w:bottom w:w="0" w:type="dxa"/>
            <w:right w:w="108" w:type="dxa"/>
          </w:tblCellMar>
        </w:tblPrEx>
        <w:trPr>
          <w:trHeight w:val="672" w:hRule="atLeast"/>
        </w:trPr>
        <w:tc>
          <w:tcPr>
            <w:tcW w:w="2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项目名称</w:t>
            </w:r>
          </w:p>
        </w:tc>
        <w:tc>
          <w:tcPr>
            <w:tcW w:w="7388" w:type="dxa"/>
            <w:gridSpan w:val="5"/>
            <w:tcBorders>
              <w:top w:val="single" w:color="000000" w:sz="4" w:space="0"/>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hint="eastAsia" w:cs="Times New Roman"/>
                <w:color w:val="000000"/>
                <w:kern w:val="0"/>
                <w:sz w:val="18"/>
                <w:szCs w:val="18"/>
              </w:rPr>
              <w:t>事业单位登记管理专项经费</w:t>
            </w:r>
          </w:p>
        </w:tc>
      </w:tr>
      <w:tr>
        <w:tblPrEx>
          <w:tblCellMar>
            <w:top w:w="0" w:type="dxa"/>
            <w:left w:w="108" w:type="dxa"/>
            <w:bottom w:w="0" w:type="dxa"/>
            <w:right w:w="108" w:type="dxa"/>
          </w:tblCellMar>
        </w:tblPrEx>
        <w:trPr>
          <w:trHeight w:val="696" w:hRule="atLeast"/>
        </w:trPr>
        <w:tc>
          <w:tcPr>
            <w:tcW w:w="26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预算单位</w:t>
            </w:r>
          </w:p>
        </w:tc>
        <w:tc>
          <w:tcPr>
            <w:tcW w:w="7388" w:type="dxa"/>
            <w:gridSpan w:val="5"/>
            <w:tcBorders>
              <w:top w:val="single" w:color="000000" w:sz="4" w:space="0"/>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382</w:t>
            </w:r>
            <w:r>
              <w:rPr>
                <w:rFonts w:hint="eastAsia" w:cs="Times New Roman"/>
                <w:color w:val="000000"/>
                <w:kern w:val="0"/>
                <w:sz w:val="18"/>
                <w:szCs w:val="18"/>
              </w:rPr>
              <w:t>6</w:t>
            </w:r>
            <w:r>
              <w:rPr>
                <w:rFonts w:cs="Times New Roman"/>
                <w:color w:val="000000"/>
                <w:kern w:val="0"/>
                <w:sz w:val="18"/>
                <w:szCs w:val="18"/>
              </w:rPr>
              <w:t>01-</w:t>
            </w:r>
            <w:r>
              <w:rPr>
                <w:rFonts w:hint="eastAsia" w:cs="Times New Roman"/>
                <w:color w:val="000000"/>
                <w:kern w:val="0"/>
                <w:sz w:val="18"/>
                <w:szCs w:val="18"/>
              </w:rPr>
              <w:t>四川省事业单位登记管理局</w:t>
            </w:r>
          </w:p>
        </w:tc>
      </w:tr>
      <w:tr>
        <w:tblPrEx>
          <w:tblCellMar>
            <w:top w:w="0" w:type="dxa"/>
            <w:left w:w="108" w:type="dxa"/>
            <w:bottom w:w="0" w:type="dxa"/>
            <w:right w:w="108" w:type="dxa"/>
          </w:tblCellMar>
        </w:tblPrEx>
        <w:trPr>
          <w:trHeight w:val="705" w:hRule="atLeast"/>
        </w:trPr>
        <w:tc>
          <w:tcPr>
            <w:tcW w:w="976" w:type="dxa"/>
            <w:vMerge w:val="restart"/>
            <w:tcBorders>
              <w:top w:val="nil"/>
              <w:left w:val="single" w:color="000000" w:sz="4" w:space="0"/>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预算执行情况</w:t>
            </w:r>
            <w:r>
              <w:rPr>
                <w:rFonts w:hint="eastAsia" w:cs="Times New Roman"/>
                <w:color w:val="000000"/>
                <w:kern w:val="0"/>
                <w:sz w:val="18"/>
                <w:szCs w:val="18"/>
              </w:rPr>
              <w:t xml:space="preserve">   </w:t>
            </w:r>
            <w:r>
              <w:rPr>
                <w:rFonts w:cs="Times New Roman"/>
                <w:color w:val="000000"/>
                <w:kern w:val="0"/>
                <w:sz w:val="18"/>
                <w:szCs w:val="18"/>
              </w:rPr>
              <w:t>(万元)</w:t>
            </w:r>
          </w:p>
        </w:tc>
        <w:tc>
          <w:tcPr>
            <w:tcW w:w="1701" w:type="dxa"/>
            <w:gridSpan w:val="2"/>
            <w:tcBorders>
              <w:top w:val="single" w:color="000000" w:sz="4" w:space="0"/>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预算数:</w:t>
            </w:r>
          </w:p>
        </w:tc>
        <w:tc>
          <w:tcPr>
            <w:tcW w:w="1576" w:type="dxa"/>
            <w:gridSpan w:val="2"/>
            <w:tcBorders>
              <w:top w:val="single" w:color="000000" w:sz="4" w:space="0"/>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hint="eastAsia" w:cs="Times New Roman"/>
                <w:color w:val="000000"/>
                <w:kern w:val="0"/>
                <w:sz w:val="18"/>
                <w:szCs w:val="18"/>
              </w:rPr>
              <w:t xml:space="preserve">27.90 </w:t>
            </w:r>
          </w:p>
        </w:tc>
        <w:tc>
          <w:tcPr>
            <w:tcW w:w="1729" w:type="dxa"/>
            <w:tcBorders>
              <w:top w:val="nil"/>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执行数:</w:t>
            </w:r>
          </w:p>
        </w:tc>
        <w:tc>
          <w:tcPr>
            <w:tcW w:w="4083" w:type="dxa"/>
            <w:gridSpan w:val="2"/>
            <w:tcBorders>
              <w:top w:val="nil"/>
              <w:left w:val="nil"/>
              <w:bottom w:val="single" w:color="000000" w:sz="4" w:space="0"/>
              <w:right w:val="single" w:color="000000" w:sz="4" w:space="0"/>
            </w:tcBorders>
          </w:tcPr>
          <w:p>
            <w:pPr>
              <w:jc w:val="center"/>
              <w:rPr>
                <w:rFonts w:cs="Times New Roman"/>
                <w:color w:val="000000"/>
                <w:kern w:val="0"/>
                <w:sz w:val="18"/>
                <w:szCs w:val="18"/>
              </w:rPr>
            </w:pPr>
            <w:r>
              <w:rPr>
                <w:rFonts w:hint="eastAsia" w:cs="Times New Roman"/>
                <w:color w:val="000000"/>
                <w:kern w:val="0"/>
                <w:sz w:val="18"/>
                <w:szCs w:val="18"/>
              </w:rPr>
              <w:t>26.13</w:t>
            </w:r>
          </w:p>
        </w:tc>
      </w:tr>
      <w:tr>
        <w:tblPrEx>
          <w:tblCellMar>
            <w:top w:w="0" w:type="dxa"/>
            <w:left w:w="108" w:type="dxa"/>
            <w:bottom w:w="0" w:type="dxa"/>
            <w:right w:w="108" w:type="dxa"/>
          </w:tblCellMar>
        </w:tblPrEx>
        <w:trPr>
          <w:trHeight w:val="446" w:hRule="atLeast"/>
        </w:trPr>
        <w:tc>
          <w:tcPr>
            <w:tcW w:w="976"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p>
        </w:tc>
        <w:tc>
          <w:tcPr>
            <w:tcW w:w="1701" w:type="dxa"/>
            <w:gridSpan w:val="2"/>
            <w:tcBorders>
              <w:top w:val="single" w:color="000000" w:sz="4" w:space="0"/>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其中-财政拨款:</w:t>
            </w:r>
          </w:p>
        </w:tc>
        <w:tc>
          <w:tcPr>
            <w:tcW w:w="1576" w:type="dxa"/>
            <w:gridSpan w:val="2"/>
            <w:tcBorders>
              <w:top w:val="single" w:color="000000" w:sz="4" w:space="0"/>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hint="eastAsia" w:cs="Times New Roman"/>
                <w:color w:val="000000"/>
                <w:kern w:val="0"/>
                <w:sz w:val="18"/>
                <w:szCs w:val="18"/>
              </w:rPr>
              <w:t>27.90</w:t>
            </w:r>
          </w:p>
        </w:tc>
        <w:tc>
          <w:tcPr>
            <w:tcW w:w="1729" w:type="dxa"/>
            <w:tcBorders>
              <w:top w:val="nil"/>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其中-财政拨款:</w:t>
            </w:r>
          </w:p>
        </w:tc>
        <w:tc>
          <w:tcPr>
            <w:tcW w:w="4083" w:type="dxa"/>
            <w:gridSpan w:val="2"/>
            <w:tcBorders>
              <w:top w:val="nil"/>
              <w:left w:val="nil"/>
              <w:bottom w:val="single" w:color="000000" w:sz="4" w:space="0"/>
              <w:right w:val="single" w:color="000000" w:sz="4" w:space="0"/>
            </w:tcBorders>
          </w:tcPr>
          <w:p>
            <w:pPr>
              <w:jc w:val="center"/>
              <w:rPr>
                <w:rFonts w:cs="Times New Roman"/>
                <w:color w:val="000000"/>
                <w:kern w:val="0"/>
                <w:sz w:val="18"/>
                <w:szCs w:val="18"/>
              </w:rPr>
            </w:pPr>
            <w:r>
              <w:rPr>
                <w:rFonts w:hint="eastAsia" w:cs="Times New Roman"/>
                <w:color w:val="000000"/>
                <w:kern w:val="0"/>
                <w:sz w:val="18"/>
                <w:szCs w:val="18"/>
              </w:rPr>
              <w:t>26.13</w:t>
            </w:r>
          </w:p>
        </w:tc>
      </w:tr>
      <w:tr>
        <w:tblPrEx>
          <w:tblCellMar>
            <w:top w:w="0" w:type="dxa"/>
            <w:left w:w="108" w:type="dxa"/>
            <w:bottom w:w="0" w:type="dxa"/>
            <w:right w:w="108" w:type="dxa"/>
          </w:tblCellMar>
        </w:tblPrEx>
        <w:trPr>
          <w:trHeight w:val="682" w:hRule="atLeast"/>
        </w:trPr>
        <w:tc>
          <w:tcPr>
            <w:tcW w:w="976" w:type="dxa"/>
            <w:vMerge w:val="continue"/>
            <w:tcBorders>
              <w:top w:val="nil"/>
              <w:left w:val="single" w:color="000000" w:sz="4" w:space="0"/>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p>
        </w:tc>
        <w:tc>
          <w:tcPr>
            <w:tcW w:w="1701" w:type="dxa"/>
            <w:gridSpan w:val="2"/>
            <w:tcBorders>
              <w:top w:val="single" w:color="000000" w:sz="4" w:space="0"/>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其它资金:</w:t>
            </w:r>
          </w:p>
        </w:tc>
        <w:tc>
          <w:tcPr>
            <w:tcW w:w="1576" w:type="dxa"/>
            <w:gridSpan w:val="2"/>
            <w:tcBorders>
              <w:top w:val="single" w:color="000000" w:sz="4" w:space="0"/>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0</w:t>
            </w:r>
          </w:p>
        </w:tc>
        <w:tc>
          <w:tcPr>
            <w:tcW w:w="1729" w:type="dxa"/>
            <w:tcBorders>
              <w:top w:val="nil"/>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其它资金:</w:t>
            </w:r>
          </w:p>
        </w:tc>
        <w:tc>
          <w:tcPr>
            <w:tcW w:w="4083" w:type="dxa"/>
            <w:gridSpan w:val="2"/>
            <w:tcBorders>
              <w:top w:val="nil"/>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0</w:t>
            </w:r>
          </w:p>
        </w:tc>
      </w:tr>
      <w:tr>
        <w:tblPrEx>
          <w:tblCellMar>
            <w:top w:w="0" w:type="dxa"/>
            <w:left w:w="108" w:type="dxa"/>
            <w:bottom w:w="0" w:type="dxa"/>
            <w:right w:w="108" w:type="dxa"/>
          </w:tblCellMar>
        </w:tblPrEx>
        <w:trPr>
          <w:trHeight w:val="691" w:hRule="atLeast"/>
        </w:trPr>
        <w:tc>
          <w:tcPr>
            <w:tcW w:w="976" w:type="dxa"/>
            <w:vMerge w:val="restart"/>
            <w:tcBorders>
              <w:top w:val="nil"/>
              <w:left w:val="single" w:color="000000" w:sz="4" w:space="0"/>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年度目标完成情况</w:t>
            </w:r>
          </w:p>
        </w:tc>
        <w:tc>
          <w:tcPr>
            <w:tcW w:w="3277" w:type="dxa"/>
            <w:gridSpan w:val="4"/>
            <w:tcBorders>
              <w:top w:val="single" w:color="000000" w:sz="4" w:space="0"/>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预期目标</w:t>
            </w:r>
          </w:p>
        </w:tc>
        <w:tc>
          <w:tcPr>
            <w:tcW w:w="5812" w:type="dxa"/>
            <w:gridSpan w:val="3"/>
            <w:tcBorders>
              <w:top w:val="single" w:color="000000" w:sz="4" w:space="0"/>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实际完成目标</w:t>
            </w:r>
          </w:p>
        </w:tc>
      </w:tr>
      <w:tr>
        <w:tblPrEx>
          <w:tblCellMar>
            <w:top w:w="0" w:type="dxa"/>
            <w:left w:w="108" w:type="dxa"/>
            <w:bottom w:w="0" w:type="dxa"/>
            <w:right w:w="108" w:type="dxa"/>
          </w:tblCellMar>
        </w:tblPrEx>
        <w:trPr>
          <w:trHeight w:val="984" w:hRule="atLeast"/>
        </w:trPr>
        <w:tc>
          <w:tcPr>
            <w:tcW w:w="976" w:type="dxa"/>
            <w:vMerge w:val="continue"/>
            <w:tcBorders>
              <w:top w:val="nil"/>
              <w:left w:val="single" w:color="000000" w:sz="4" w:space="0"/>
              <w:bottom w:val="single" w:color="000000" w:sz="4" w:space="0"/>
              <w:right w:val="single" w:color="000000" w:sz="4" w:space="0"/>
            </w:tcBorders>
            <w:vAlign w:val="center"/>
          </w:tcPr>
          <w:p>
            <w:pPr>
              <w:widowControl/>
              <w:spacing w:line="260" w:lineRule="exact"/>
              <w:jc w:val="center"/>
              <w:rPr>
                <w:rFonts w:cs="Times New Roman"/>
                <w:color w:val="000000"/>
                <w:kern w:val="0"/>
                <w:sz w:val="18"/>
                <w:szCs w:val="18"/>
              </w:rPr>
            </w:pPr>
          </w:p>
        </w:tc>
        <w:tc>
          <w:tcPr>
            <w:tcW w:w="3277" w:type="dxa"/>
            <w:gridSpan w:val="4"/>
            <w:tcBorders>
              <w:top w:val="single" w:color="000000" w:sz="4" w:space="0"/>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hint="eastAsia" w:cs="Times New Roman"/>
                <w:color w:val="000000"/>
                <w:kern w:val="0"/>
                <w:sz w:val="18"/>
                <w:szCs w:val="18"/>
              </w:rPr>
              <w:t>保障事业登记管理相关业务         工作顺利开展</w:t>
            </w:r>
          </w:p>
        </w:tc>
        <w:tc>
          <w:tcPr>
            <w:tcW w:w="5812" w:type="dxa"/>
            <w:gridSpan w:val="3"/>
            <w:tcBorders>
              <w:top w:val="single" w:color="000000" w:sz="4" w:space="0"/>
              <w:left w:val="nil"/>
              <w:bottom w:val="single" w:color="000000" w:sz="4" w:space="0"/>
              <w:right w:val="single" w:color="000000" w:sz="4" w:space="0"/>
            </w:tcBorders>
            <w:vAlign w:val="center"/>
          </w:tcPr>
          <w:p>
            <w:pPr>
              <w:widowControl/>
              <w:spacing w:line="260" w:lineRule="exact"/>
              <w:jc w:val="center"/>
              <w:rPr>
                <w:rFonts w:cs="Times New Roman"/>
                <w:color w:val="000000"/>
                <w:kern w:val="0"/>
                <w:sz w:val="18"/>
                <w:szCs w:val="18"/>
              </w:rPr>
            </w:pPr>
            <w:r>
              <w:rPr>
                <w:rFonts w:hint="eastAsia" w:cs="Times New Roman"/>
                <w:color w:val="000000"/>
                <w:kern w:val="0"/>
                <w:sz w:val="18"/>
                <w:szCs w:val="18"/>
              </w:rPr>
              <w:t>事业单位登记管理相关业务工作顺利完成</w:t>
            </w:r>
          </w:p>
        </w:tc>
      </w:tr>
      <w:tr>
        <w:tblPrEx>
          <w:tblCellMar>
            <w:top w:w="0" w:type="dxa"/>
            <w:left w:w="108" w:type="dxa"/>
            <w:bottom w:w="0" w:type="dxa"/>
            <w:right w:w="108" w:type="dxa"/>
          </w:tblCellMar>
        </w:tblPrEx>
        <w:trPr>
          <w:trHeight w:val="1112" w:hRule="atLeast"/>
        </w:trPr>
        <w:tc>
          <w:tcPr>
            <w:tcW w:w="976" w:type="dxa"/>
            <w:vMerge w:val="restart"/>
            <w:tcBorders>
              <w:top w:val="nil"/>
              <w:left w:val="single" w:color="000000" w:sz="4" w:space="0"/>
              <w:bottom w:val="single" w:color="000000" w:sz="4" w:space="0"/>
              <w:right w:val="single" w:color="000000" w:sz="4" w:space="0"/>
            </w:tcBorders>
            <w:vAlign w:val="center"/>
          </w:tcPr>
          <w:p>
            <w:pPr>
              <w:widowControl/>
              <w:spacing w:line="260" w:lineRule="exact"/>
              <w:jc w:val="center"/>
              <w:rPr>
                <w:rFonts w:cs="Times New Roman"/>
                <w:color w:val="000000"/>
                <w:kern w:val="0"/>
                <w:sz w:val="18"/>
                <w:szCs w:val="18"/>
              </w:rPr>
            </w:pPr>
            <w:r>
              <w:rPr>
                <w:rFonts w:cs="Times New Roman"/>
                <w:color w:val="000000"/>
                <w:kern w:val="0"/>
                <w:sz w:val="18"/>
                <w:szCs w:val="18"/>
              </w:rPr>
              <w:t>绩效指标完成情况</w:t>
            </w:r>
          </w:p>
        </w:tc>
        <w:tc>
          <w:tcPr>
            <w:tcW w:w="1037" w:type="dxa"/>
            <w:tcBorders>
              <w:top w:val="nil"/>
              <w:left w:val="nil"/>
              <w:bottom w:val="single" w:color="000000" w:sz="4" w:space="0"/>
              <w:right w:val="single" w:color="000000" w:sz="4" w:space="0"/>
            </w:tcBorders>
            <w:vAlign w:val="center"/>
          </w:tcPr>
          <w:p>
            <w:pPr>
              <w:widowControl/>
              <w:spacing w:line="260" w:lineRule="exact"/>
              <w:jc w:val="left"/>
              <w:rPr>
                <w:rFonts w:cs="Times New Roman"/>
                <w:color w:val="000000"/>
                <w:kern w:val="0"/>
                <w:sz w:val="18"/>
                <w:szCs w:val="18"/>
              </w:rPr>
            </w:pPr>
            <w:r>
              <w:rPr>
                <w:rFonts w:cs="Times New Roman"/>
                <w:color w:val="000000"/>
                <w:kern w:val="0"/>
                <w:sz w:val="18"/>
                <w:szCs w:val="18"/>
              </w:rPr>
              <w:t>一级指标</w:t>
            </w:r>
          </w:p>
        </w:tc>
        <w:tc>
          <w:tcPr>
            <w:tcW w:w="823" w:type="dxa"/>
            <w:gridSpan w:val="2"/>
            <w:tcBorders>
              <w:top w:val="nil"/>
              <w:left w:val="nil"/>
              <w:bottom w:val="single" w:color="000000" w:sz="4" w:space="0"/>
              <w:right w:val="single" w:color="000000" w:sz="4" w:space="0"/>
            </w:tcBorders>
            <w:vAlign w:val="center"/>
          </w:tcPr>
          <w:p>
            <w:pPr>
              <w:widowControl/>
              <w:spacing w:line="260" w:lineRule="exact"/>
              <w:jc w:val="center"/>
              <w:rPr>
                <w:rFonts w:cs="Times New Roman"/>
                <w:color w:val="000000"/>
                <w:kern w:val="0"/>
                <w:sz w:val="18"/>
                <w:szCs w:val="18"/>
              </w:rPr>
            </w:pPr>
            <w:r>
              <w:rPr>
                <w:rFonts w:cs="Times New Roman"/>
                <w:color w:val="000000"/>
                <w:kern w:val="0"/>
                <w:sz w:val="18"/>
                <w:szCs w:val="18"/>
              </w:rPr>
              <w:t>二级</w:t>
            </w:r>
            <w:r>
              <w:rPr>
                <w:rFonts w:hint="eastAsia" w:cs="Times New Roman"/>
                <w:color w:val="000000"/>
                <w:kern w:val="0"/>
                <w:sz w:val="18"/>
                <w:szCs w:val="18"/>
              </w:rPr>
              <w:t xml:space="preserve">  </w:t>
            </w:r>
            <w:r>
              <w:rPr>
                <w:rFonts w:cs="Times New Roman"/>
                <w:color w:val="000000"/>
                <w:kern w:val="0"/>
                <w:sz w:val="18"/>
                <w:szCs w:val="18"/>
              </w:rPr>
              <w:t>指标</w:t>
            </w:r>
          </w:p>
        </w:tc>
        <w:tc>
          <w:tcPr>
            <w:tcW w:w="1417" w:type="dxa"/>
            <w:tcBorders>
              <w:top w:val="single" w:color="000000" w:sz="4" w:space="0"/>
              <w:left w:val="nil"/>
              <w:bottom w:val="single" w:color="000000" w:sz="4" w:space="0"/>
              <w:right w:val="single" w:color="000000" w:sz="4" w:space="0"/>
            </w:tcBorders>
            <w:vAlign w:val="center"/>
          </w:tcPr>
          <w:p>
            <w:pPr>
              <w:widowControl/>
              <w:spacing w:line="260" w:lineRule="exact"/>
              <w:jc w:val="center"/>
              <w:rPr>
                <w:rFonts w:cs="Times New Roman"/>
                <w:color w:val="000000"/>
                <w:kern w:val="0"/>
                <w:sz w:val="18"/>
                <w:szCs w:val="18"/>
              </w:rPr>
            </w:pPr>
            <w:r>
              <w:rPr>
                <w:rFonts w:cs="Times New Roman"/>
                <w:color w:val="000000"/>
                <w:kern w:val="0"/>
                <w:sz w:val="18"/>
                <w:szCs w:val="18"/>
              </w:rPr>
              <w:t>三级指标</w:t>
            </w:r>
          </w:p>
        </w:tc>
        <w:tc>
          <w:tcPr>
            <w:tcW w:w="2552" w:type="dxa"/>
            <w:gridSpan w:val="2"/>
            <w:tcBorders>
              <w:top w:val="nil"/>
              <w:left w:val="nil"/>
              <w:bottom w:val="single" w:color="000000" w:sz="4" w:space="0"/>
              <w:right w:val="single" w:color="000000" w:sz="4" w:space="0"/>
            </w:tcBorders>
            <w:vAlign w:val="center"/>
          </w:tcPr>
          <w:p>
            <w:pPr>
              <w:widowControl/>
              <w:spacing w:line="260" w:lineRule="exact"/>
              <w:jc w:val="center"/>
              <w:rPr>
                <w:rFonts w:cs="Times New Roman"/>
                <w:color w:val="000000"/>
                <w:kern w:val="0"/>
                <w:sz w:val="18"/>
                <w:szCs w:val="18"/>
              </w:rPr>
            </w:pPr>
            <w:r>
              <w:rPr>
                <w:rFonts w:cs="Times New Roman"/>
                <w:color w:val="000000"/>
                <w:kern w:val="0"/>
                <w:sz w:val="18"/>
                <w:szCs w:val="18"/>
              </w:rPr>
              <w:t>预期指标值</w:t>
            </w:r>
            <w:r>
              <w:rPr>
                <w:rFonts w:hint="eastAsia" w:cs="Times New Roman"/>
                <w:color w:val="000000"/>
                <w:kern w:val="0"/>
                <w:sz w:val="18"/>
                <w:szCs w:val="18"/>
              </w:rPr>
              <w:t xml:space="preserve">                                         </w:t>
            </w:r>
            <w:r>
              <w:rPr>
                <w:rFonts w:cs="Times New Roman"/>
                <w:color w:val="000000"/>
                <w:kern w:val="0"/>
                <w:sz w:val="18"/>
                <w:szCs w:val="18"/>
              </w:rPr>
              <w:t>(包含数字及文字描述)</w:t>
            </w:r>
          </w:p>
        </w:tc>
        <w:tc>
          <w:tcPr>
            <w:tcW w:w="3260" w:type="dxa"/>
            <w:tcBorders>
              <w:top w:val="nil"/>
              <w:left w:val="nil"/>
              <w:bottom w:val="single" w:color="000000" w:sz="4" w:space="0"/>
              <w:right w:val="single" w:color="000000" w:sz="4" w:space="0"/>
            </w:tcBorders>
            <w:vAlign w:val="center"/>
          </w:tcPr>
          <w:p>
            <w:pPr>
              <w:widowControl/>
              <w:spacing w:line="260" w:lineRule="exact"/>
              <w:jc w:val="center"/>
              <w:rPr>
                <w:rFonts w:hint="eastAsia" w:cs="Times New Roman"/>
                <w:color w:val="000000"/>
                <w:kern w:val="0"/>
                <w:sz w:val="18"/>
                <w:szCs w:val="18"/>
              </w:rPr>
            </w:pPr>
            <w:r>
              <w:rPr>
                <w:rFonts w:cs="Times New Roman"/>
                <w:color w:val="000000"/>
                <w:kern w:val="0"/>
                <w:sz w:val="18"/>
                <w:szCs w:val="18"/>
              </w:rPr>
              <w:t>实际完成指标值</w:t>
            </w:r>
          </w:p>
          <w:p>
            <w:pPr>
              <w:widowControl/>
              <w:spacing w:line="260" w:lineRule="exact"/>
              <w:jc w:val="center"/>
              <w:rPr>
                <w:rFonts w:cs="Times New Roman"/>
                <w:color w:val="000000"/>
                <w:kern w:val="0"/>
                <w:sz w:val="18"/>
                <w:szCs w:val="18"/>
              </w:rPr>
            </w:pPr>
            <w:r>
              <w:rPr>
                <w:rFonts w:cs="Times New Roman"/>
                <w:color w:val="000000"/>
                <w:kern w:val="0"/>
                <w:sz w:val="18"/>
                <w:szCs w:val="18"/>
              </w:rPr>
              <w:t>(包含数字及文字描述)</w:t>
            </w:r>
          </w:p>
        </w:tc>
      </w:tr>
      <w:tr>
        <w:tblPrEx>
          <w:tblCellMar>
            <w:top w:w="0" w:type="dxa"/>
            <w:left w:w="108" w:type="dxa"/>
            <w:bottom w:w="0" w:type="dxa"/>
            <w:right w:w="108" w:type="dxa"/>
          </w:tblCellMar>
        </w:tblPrEx>
        <w:trPr>
          <w:trHeight w:val="1837" w:hRule="atLeast"/>
        </w:trPr>
        <w:tc>
          <w:tcPr>
            <w:tcW w:w="976" w:type="dxa"/>
            <w:vMerge w:val="continue"/>
            <w:tcBorders>
              <w:top w:val="nil"/>
              <w:left w:val="single" w:color="000000" w:sz="4" w:space="0"/>
              <w:bottom w:val="single" w:color="000000" w:sz="4" w:space="0"/>
              <w:right w:val="single" w:color="000000" w:sz="4" w:space="0"/>
            </w:tcBorders>
            <w:vAlign w:val="center"/>
          </w:tcPr>
          <w:p>
            <w:pPr>
              <w:widowControl/>
              <w:spacing w:line="260" w:lineRule="exact"/>
              <w:jc w:val="center"/>
              <w:rPr>
                <w:rFonts w:cs="Times New Roman"/>
                <w:color w:val="000000"/>
                <w:kern w:val="0"/>
                <w:sz w:val="18"/>
                <w:szCs w:val="18"/>
              </w:rPr>
            </w:pPr>
          </w:p>
        </w:tc>
        <w:tc>
          <w:tcPr>
            <w:tcW w:w="1037" w:type="dxa"/>
            <w:tcBorders>
              <w:top w:val="nil"/>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项目完成指标</w:t>
            </w:r>
          </w:p>
        </w:tc>
        <w:tc>
          <w:tcPr>
            <w:tcW w:w="823" w:type="dxa"/>
            <w:gridSpan w:val="2"/>
            <w:tcBorders>
              <w:top w:val="nil"/>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数量</w:t>
            </w:r>
            <w:r>
              <w:rPr>
                <w:rFonts w:hint="eastAsia" w:cs="Times New Roman"/>
                <w:color w:val="000000"/>
                <w:kern w:val="0"/>
                <w:sz w:val="18"/>
                <w:szCs w:val="18"/>
              </w:rPr>
              <w:t xml:space="preserve">  </w:t>
            </w:r>
            <w:r>
              <w:rPr>
                <w:rFonts w:cs="Times New Roman"/>
                <w:color w:val="000000"/>
                <w:kern w:val="0"/>
                <w:sz w:val="18"/>
                <w:szCs w:val="18"/>
              </w:rPr>
              <w:t>指标</w:t>
            </w:r>
          </w:p>
        </w:tc>
        <w:tc>
          <w:tcPr>
            <w:tcW w:w="1417" w:type="dxa"/>
            <w:tcBorders>
              <w:top w:val="single" w:color="000000" w:sz="4" w:space="0"/>
              <w:left w:val="nil"/>
              <w:bottom w:val="single" w:color="000000" w:sz="4" w:space="0"/>
              <w:right w:val="single" w:color="000000" w:sz="4" w:space="0"/>
            </w:tcBorders>
            <w:vAlign w:val="center"/>
          </w:tcPr>
          <w:p>
            <w:pPr>
              <w:widowControl/>
              <w:spacing w:line="280" w:lineRule="exact"/>
              <w:jc w:val="left"/>
              <w:rPr>
                <w:rFonts w:cs="Times New Roman"/>
                <w:color w:val="000000"/>
                <w:kern w:val="0"/>
                <w:sz w:val="18"/>
                <w:szCs w:val="18"/>
              </w:rPr>
            </w:pPr>
            <w:r>
              <w:rPr>
                <w:rFonts w:hint="eastAsia" w:cs="Times New Roman"/>
                <w:color w:val="000000"/>
                <w:kern w:val="0"/>
                <w:sz w:val="18"/>
                <w:szCs w:val="18"/>
              </w:rPr>
              <w:t>1.完成省本级事业单位“双随机、一公开”抽查；2. 完成事业单位法人年度报告公示数。</w:t>
            </w:r>
          </w:p>
        </w:tc>
        <w:tc>
          <w:tcPr>
            <w:tcW w:w="2552" w:type="dxa"/>
            <w:gridSpan w:val="2"/>
            <w:tcBorders>
              <w:top w:val="nil"/>
              <w:left w:val="nil"/>
              <w:bottom w:val="single" w:color="000000" w:sz="4" w:space="0"/>
              <w:right w:val="single" w:color="000000" w:sz="4" w:space="0"/>
            </w:tcBorders>
            <w:vAlign w:val="center"/>
          </w:tcPr>
          <w:p>
            <w:pPr>
              <w:widowControl/>
              <w:spacing w:line="220" w:lineRule="exact"/>
              <w:jc w:val="left"/>
              <w:rPr>
                <w:rFonts w:cs="Times New Roman"/>
                <w:color w:val="000000"/>
                <w:kern w:val="0"/>
                <w:sz w:val="18"/>
                <w:szCs w:val="18"/>
              </w:rPr>
            </w:pPr>
            <w:r>
              <w:rPr>
                <w:rFonts w:hint="eastAsia" w:cs="Times New Roman"/>
                <w:color w:val="000000"/>
                <w:kern w:val="0"/>
                <w:sz w:val="18"/>
                <w:szCs w:val="18"/>
              </w:rPr>
              <w:t xml:space="preserve">1. 事业单位法人年度报告公示1000家以上；                                        2. “双随机、一公开”抽查单位不低于20家。   </w:t>
            </w:r>
          </w:p>
        </w:tc>
        <w:tc>
          <w:tcPr>
            <w:tcW w:w="3260" w:type="dxa"/>
            <w:tcBorders>
              <w:top w:val="nil"/>
              <w:left w:val="nil"/>
              <w:bottom w:val="single" w:color="000000" w:sz="4" w:space="0"/>
              <w:right w:val="single" w:color="000000" w:sz="4" w:space="0"/>
            </w:tcBorders>
            <w:vAlign w:val="center"/>
          </w:tcPr>
          <w:p>
            <w:pPr>
              <w:widowControl/>
              <w:spacing w:line="280" w:lineRule="exact"/>
              <w:jc w:val="left"/>
              <w:rPr>
                <w:rFonts w:cs="Times New Roman"/>
                <w:color w:val="000000"/>
                <w:kern w:val="0"/>
                <w:sz w:val="18"/>
                <w:szCs w:val="18"/>
              </w:rPr>
            </w:pPr>
            <w:r>
              <w:rPr>
                <w:rFonts w:hint="eastAsia" w:cs="Times New Roman"/>
                <w:color w:val="000000"/>
                <w:kern w:val="0"/>
                <w:sz w:val="18"/>
                <w:szCs w:val="18"/>
              </w:rPr>
              <w:t>1. 事业单位法人年度报告公示实际完成1081家；                                  2. “双随机、一公开” 实际抽查单位21家。</w:t>
            </w:r>
          </w:p>
        </w:tc>
      </w:tr>
      <w:tr>
        <w:tblPrEx>
          <w:tblCellMar>
            <w:top w:w="0" w:type="dxa"/>
            <w:left w:w="108" w:type="dxa"/>
            <w:bottom w:w="0" w:type="dxa"/>
            <w:right w:w="108" w:type="dxa"/>
          </w:tblCellMar>
        </w:tblPrEx>
        <w:trPr>
          <w:trHeight w:val="1424" w:hRule="atLeast"/>
        </w:trPr>
        <w:tc>
          <w:tcPr>
            <w:tcW w:w="976" w:type="dxa"/>
            <w:vMerge w:val="continue"/>
            <w:tcBorders>
              <w:top w:val="nil"/>
              <w:left w:val="single" w:color="000000" w:sz="4" w:space="0"/>
              <w:bottom w:val="single" w:color="000000" w:sz="4" w:space="0"/>
              <w:right w:val="single" w:color="000000" w:sz="4" w:space="0"/>
            </w:tcBorders>
            <w:vAlign w:val="center"/>
          </w:tcPr>
          <w:p>
            <w:pPr>
              <w:widowControl/>
              <w:spacing w:line="260" w:lineRule="exact"/>
              <w:jc w:val="center"/>
              <w:rPr>
                <w:rFonts w:cs="Times New Roman"/>
                <w:color w:val="000000"/>
                <w:kern w:val="0"/>
                <w:sz w:val="18"/>
                <w:szCs w:val="18"/>
              </w:rPr>
            </w:pPr>
          </w:p>
        </w:tc>
        <w:tc>
          <w:tcPr>
            <w:tcW w:w="1037" w:type="dxa"/>
            <w:tcBorders>
              <w:top w:val="nil"/>
              <w:left w:val="nil"/>
              <w:bottom w:val="single" w:color="000000" w:sz="4" w:space="0"/>
              <w:right w:val="single" w:color="000000" w:sz="4" w:space="0"/>
            </w:tcBorders>
            <w:vAlign w:val="center"/>
          </w:tcPr>
          <w:p>
            <w:pPr>
              <w:widowControl/>
              <w:spacing w:line="220" w:lineRule="exact"/>
              <w:jc w:val="center"/>
              <w:rPr>
                <w:rFonts w:cs="Times New Roman"/>
                <w:color w:val="000000"/>
                <w:kern w:val="0"/>
                <w:sz w:val="18"/>
                <w:szCs w:val="18"/>
              </w:rPr>
            </w:pPr>
            <w:r>
              <w:rPr>
                <w:rFonts w:cs="Times New Roman"/>
                <w:color w:val="000000"/>
                <w:kern w:val="0"/>
                <w:sz w:val="18"/>
                <w:szCs w:val="18"/>
              </w:rPr>
              <w:t>项目完成指标</w:t>
            </w:r>
          </w:p>
        </w:tc>
        <w:tc>
          <w:tcPr>
            <w:tcW w:w="823" w:type="dxa"/>
            <w:gridSpan w:val="2"/>
            <w:tcBorders>
              <w:top w:val="nil"/>
              <w:left w:val="nil"/>
              <w:bottom w:val="single" w:color="000000" w:sz="4" w:space="0"/>
              <w:right w:val="single" w:color="000000" w:sz="4" w:space="0"/>
            </w:tcBorders>
            <w:vAlign w:val="center"/>
          </w:tcPr>
          <w:p>
            <w:pPr>
              <w:widowControl/>
              <w:spacing w:line="220" w:lineRule="exact"/>
              <w:jc w:val="center"/>
              <w:rPr>
                <w:rFonts w:cs="Times New Roman"/>
                <w:color w:val="000000"/>
                <w:kern w:val="0"/>
                <w:sz w:val="18"/>
                <w:szCs w:val="18"/>
              </w:rPr>
            </w:pPr>
            <w:r>
              <w:rPr>
                <w:rFonts w:hint="eastAsia" w:cs="Times New Roman"/>
                <w:color w:val="000000"/>
                <w:kern w:val="0"/>
                <w:sz w:val="18"/>
                <w:szCs w:val="18"/>
              </w:rPr>
              <w:t>完成率</w:t>
            </w:r>
            <w:r>
              <w:rPr>
                <w:rFonts w:cs="Times New Roman"/>
                <w:color w:val="000000"/>
                <w:kern w:val="0"/>
                <w:sz w:val="18"/>
                <w:szCs w:val="18"/>
              </w:rPr>
              <w:t>指标</w:t>
            </w:r>
          </w:p>
        </w:tc>
        <w:tc>
          <w:tcPr>
            <w:tcW w:w="1417" w:type="dxa"/>
            <w:tcBorders>
              <w:top w:val="single" w:color="000000" w:sz="4" w:space="0"/>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hint="eastAsia" w:cs="Times New Roman"/>
                <w:color w:val="000000"/>
                <w:kern w:val="0"/>
                <w:sz w:val="18"/>
                <w:szCs w:val="18"/>
              </w:rPr>
              <w:t>完成率</w:t>
            </w:r>
          </w:p>
        </w:tc>
        <w:tc>
          <w:tcPr>
            <w:tcW w:w="2552" w:type="dxa"/>
            <w:gridSpan w:val="2"/>
            <w:tcBorders>
              <w:top w:val="nil"/>
              <w:left w:val="nil"/>
              <w:bottom w:val="single" w:color="000000" w:sz="4" w:space="0"/>
              <w:right w:val="single" w:color="000000" w:sz="4" w:space="0"/>
            </w:tcBorders>
            <w:vAlign w:val="center"/>
          </w:tcPr>
          <w:p>
            <w:pPr>
              <w:widowControl/>
              <w:spacing w:line="280" w:lineRule="exact"/>
              <w:jc w:val="left"/>
              <w:rPr>
                <w:rFonts w:cs="Times New Roman"/>
                <w:color w:val="000000"/>
                <w:kern w:val="0"/>
                <w:sz w:val="18"/>
                <w:szCs w:val="18"/>
              </w:rPr>
            </w:pPr>
            <w:r>
              <w:rPr>
                <w:rFonts w:hint="eastAsia" w:cs="Times New Roman"/>
                <w:color w:val="000000"/>
                <w:kern w:val="0"/>
                <w:sz w:val="18"/>
                <w:szCs w:val="18"/>
              </w:rPr>
              <w:t xml:space="preserve">1. 事业单位法人年度报告公示率达到90%以上；                                        2. 抽查整改完成率达到95%以上。  </w:t>
            </w:r>
          </w:p>
        </w:tc>
        <w:tc>
          <w:tcPr>
            <w:tcW w:w="3260" w:type="dxa"/>
            <w:tcBorders>
              <w:top w:val="nil"/>
              <w:left w:val="nil"/>
              <w:bottom w:val="single" w:color="000000" w:sz="4" w:space="0"/>
              <w:right w:val="single" w:color="000000" w:sz="4" w:space="0"/>
            </w:tcBorders>
            <w:vAlign w:val="center"/>
          </w:tcPr>
          <w:p>
            <w:pPr>
              <w:widowControl/>
              <w:spacing w:line="280" w:lineRule="exact"/>
              <w:jc w:val="left"/>
              <w:rPr>
                <w:rFonts w:cs="Times New Roman"/>
                <w:color w:val="000000"/>
                <w:kern w:val="0"/>
                <w:sz w:val="18"/>
                <w:szCs w:val="18"/>
              </w:rPr>
            </w:pPr>
            <w:r>
              <w:rPr>
                <w:rFonts w:hint="eastAsia" w:cs="Times New Roman"/>
                <w:color w:val="000000"/>
                <w:kern w:val="0"/>
                <w:sz w:val="18"/>
                <w:szCs w:val="18"/>
              </w:rPr>
              <w:t>1. 事业单位法人年度报告公示率完成100%；                                  2. 抽查整改完成率完成100%。</w:t>
            </w:r>
          </w:p>
        </w:tc>
      </w:tr>
      <w:tr>
        <w:tblPrEx>
          <w:tblCellMar>
            <w:top w:w="0" w:type="dxa"/>
            <w:left w:w="108" w:type="dxa"/>
            <w:bottom w:w="0" w:type="dxa"/>
            <w:right w:w="108" w:type="dxa"/>
          </w:tblCellMar>
        </w:tblPrEx>
        <w:trPr>
          <w:trHeight w:val="703" w:hRule="atLeast"/>
        </w:trPr>
        <w:tc>
          <w:tcPr>
            <w:tcW w:w="976" w:type="dxa"/>
            <w:vMerge w:val="continue"/>
            <w:tcBorders>
              <w:top w:val="nil"/>
              <w:left w:val="single" w:color="000000" w:sz="4" w:space="0"/>
              <w:bottom w:val="single" w:color="000000" w:sz="4" w:space="0"/>
              <w:right w:val="single" w:color="000000" w:sz="4" w:space="0"/>
            </w:tcBorders>
            <w:vAlign w:val="center"/>
          </w:tcPr>
          <w:p>
            <w:pPr>
              <w:widowControl/>
              <w:spacing w:line="260" w:lineRule="exact"/>
              <w:jc w:val="center"/>
              <w:rPr>
                <w:rFonts w:cs="Times New Roman"/>
                <w:color w:val="000000"/>
                <w:kern w:val="0"/>
                <w:sz w:val="18"/>
                <w:szCs w:val="18"/>
              </w:rPr>
            </w:pPr>
          </w:p>
        </w:tc>
        <w:tc>
          <w:tcPr>
            <w:tcW w:w="1037" w:type="dxa"/>
            <w:tcBorders>
              <w:top w:val="nil"/>
              <w:left w:val="nil"/>
              <w:bottom w:val="single" w:color="000000" w:sz="4" w:space="0"/>
              <w:right w:val="single" w:color="000000" w:sz="4" w:space="0"/>
            </w:tcBorders>
            <w:vAlign w:val="center"/>
          </w:tcPr>
          <w:p>
            <w:pPr>
              <w:widowControl/>
              <w:spacing w:line="220" w:lineRule="exact"/>
              <w:jc w:val="center"/>
              <w:rPr>
                <w:rFonts w:cs="Times New Roman"/>
                <w:color w:val="000000"/>
                <w:kern w:val="0"/>
                <w:sz w:val="18"/>
                <w:szCs w:val="18"/>
              </w:rPr>
            </w:pPr>
            <w:r>
              <w:rPr>
                <w:rFonts w:cs="Times New Roman"/>
                <w:color w:val="000000"/>
                <w:kern w:val="0"/>
                <w:sz w:val="18"/>
                <w:szCs w:val="18"/>
              </w:rPr>
              <w:t>项目完成指标</w:t>
            </w:r>
          </w:p>
        </w:tc>
        <w:tc>
          <w:tcPr>
            <w:tcW w:w="823" w:type="dxa"/>
            <w:gridSpan w:val="2"/>
            <w:tcBorders>
              <w:top w:val="nil"/>
              <w:left w:val="nil"/>
              <w:bottom w:val="single" w:color="000000" w:sz="4" w:space="0"/>
              <w:right w:val="single" w:color="000000" w:sz="4" w:space="0"/>
            </w:tcBorders>
            <w:vAlign w:val="center"/>
          </w:tcPr>
          <w:p>
            <w:pPr>
              <w:widowControl/>
              <w:spacing w:line="220" w:lineRule="exact"/>
              <w:jc w:val="center"/>
              <w:rPr>
                <w:rFonts w:cs="Times New Roman"/>
                <w:color w:val="000000"/>
                <w:kern w:val="0"/>
                <w:sz w:val="18"/>
                <w:szCs w:val="18"/>
              </w:rPr>
            </w:pPr>
            <w:r>
              <w:rPr>
                <w:rFonts w:cs="Times New Roman"/>
                <w:color w:val="000000"/>
                <w:kern w:val="0"/>
                <w:sz w:val="18"/>
                <w:szCs w:val="18"/>
              </w:rPr>
              <w:t>时效</w:t>
            </w:r>
            <w:r>
              <w:rPr>
                <w:rFonts w:hint="eastAsia" w:cs="Times New Roman"/>
                <w:color w:val="000000"/>
                <w:kern w:val="0"/>
                <w:sz w:val="18"/>
                <w:szCs w:val="18"/>
              </w:rPr>
              <w:t xml:space="preserve">  </w:t>
            </w:r>
            <w:r>
              <w:rPr>
                <w:rFonts w:cs="Times New Roman"/>
                <w:color w:val="000000"/>
                <w:kern w:val="0"/>
                <w:sz w:val="18"/>
                <w:szCs w:val="18"/>
              </w:rPr>
              <w:t>指标</w:t>
            </w:r>
          </w:p>
        </w:tc>
        <w:tc>
          <w:tcPr>
            <w:tcW w:w="1417" w:type="dxa"/>
            <w:tcBorders>
              <w:top w:val="single" w:color="000000" w:sz="4" w:space="0"/>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完成时限</w:t>
            </w:r>
          </w:p>
        </w:tc>
        <w:tc>
          <w:tcPr>
            <w:tcW w:w="2552" w:type="dxa"/>
            <w:gridSpan w:val="2"/>
            <w:tcBorders>
              <w:top w:val="nil"/>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20</w:t>
            </w:r>
            <w:r>
              <w:rPr>
                <w:rFonts w:hint="eastAsia" w:cs="Times New Roman"/>
                <w:color w:val="000000"/>
                <w:kern w:val="0"/>
                <w:sz w:val="18"/>
                <w:szCs w:val="18"/>
              </w:rPr>
              <w:t>20</w:t>
            </w:r>
            <w:r>
              <w:rPr>
                <w:rFonts w:cs="Times New Roman"/>
                <w:color w:val="000000"/>
                <w:kern w:val="0"/>
                <w:sz w:val="18"/>
                <w:szCs w:val="18"/>
              </w:rPr>
              <w:t>年12月31日前</w:t>
            </w:r>
          </w:p>
        </w:tc>
        <w:tc>
          <w:tcPr>
            <w:tcW w:w="3260" w:type="dxa"/>
            <w:tcBorders>
              <w:top w:val="nil"/>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20</w:t>
            </w:r>
            <w:r>
              <w:rPr>
                <w:rFonts w:hint="eastAsia" w:cs="Times New Roman"/>
                <w:color w:val="000000"/>
                <w:kern w:val="0"/>
                <w:sz w:val="18"/>
                <w:szCs w:val="18"/>
              </w:rPr>
              <w:t>20</w:t>
            </w:r>
            <w:r>
              <w:rPr>
                <w:rFonts w:cs="Times New Roman"/>
                <w:color w:val="000000"/>
                <w:kern w:val="0"/>
                <w:sz w:val="18"/>
                <w:szCs w:val="18"/>
              </w:rPr>
              <w:t>年12月31日前</w:t>
            </w:r>
          </w:p>
        </w:tc>
      </w:tr>
      <w:tr>
        <w:tblPrEx>
          <w:tblCellMar>
            <w:top w:w="0" w:type="dxa"/>
            <w:left w:w="108" w:type="dxa"/>
            <w:bottom w:w="0" w:type="dxa"/>
            <w:right w:w="108" w:type="dxa"/>
          </w:tblCellMar>
        </w:tblPrEx>
        <w:trPr>
          <w:trHeight w:val="982" w:hRule="atLeast"/>
        </w:trPr>
        <w:tc>
          <w:tcPr>
            <w:tcW w:w="976" w:type="dxa"/>
            <w:vMerge w:val="continue"/>
            <w:tcBorders>
              <w:top w:val="nil"/>
              <w:left w:val="single" w:color="000000" w:sz="4" w:space="0"/>
              <w:bottom w:val="single" w:color="000000" w:sz="4" w:space="0"/>
              <w:right w:val="single" w:color="000000" w:sz="4" w:space="0"/>
            </w:tcBorders>
            <w:vAlign w:val="center"/>
          </w:tcPr>
          <w:p>
            <w:pPr>
              <w:widowControl/>
              <w:spacing w:line="260" w:lineRule="exact"/>
              <w:jc w:val="center"/>
              <w:rPr>
                <w:rFonts w:cs="Times New Roman"/>
                <w:color w:val="000000"/>
                <w:kern w:val="0"/>
                <w:sz w:val="18"/>
                <w:szCs w:val="18"/>
              </w:rPr>
            </w:pPr>
          </w:p>
        </w:tc>
        <w:tc>
          <w:tcPr>
            <w:tcW w:w="1037" w:type="dxa"/>
            <w:tcBorders>
              <w:top w:val="nil"/>
              <w:left w:val="nil"/>
              <w:bottom w:val="single" w:color="000000" w:sz="4" w:space="0"/>
              <w:right w:val="single" w:color="000000" w:sz="4" w:space="0"/>
            </w:tcBorders>
            <w:vAlign w:val="center"/>
          </w:tcPr>
          <w:p>
            <w:pPr>
              <w:widowControl/>
              <w:spacing w:line="220" w:lineRule="exact"/>
              <w:jc w:val="center"/>
              <w:rPr>
                <w:rFonts w:cs="Times New Roman"/>
                <w:color w:val="000000"/>
                <w:kern w:val="0"/>
                <w:sz w:val="18"/>
                <w:szCs w:val="18"/>
              </w:rPr>
            </w:pPr>
            <w:r>
              <w:rPr>
                <w:rFonts w:cs="Times New Roman"/>
                <w:color w:val="000000"/>
                <w:kern w:val="0"/>
                <w:sz w:val="18"/>
                <w:szCs w:val="18"/>
              </w:rPr>
              <w:t>项目完成指标</w:t>
            </w:r>
          </w:p>
        </w:tc>
        <w:tc>
          <w:tcPr>
            <w:tcW w:w="823" w:type="dxa"/>
            <w:gridSpan w:val="2"/>
            <w:tcBorders>
              <w:top w:val="nil"/>
              <w:left w:val="nil"/>
              <w:bottom w:val="single" w:color="000000" w:sz="4" w:space="0"/>
              <w:right w:val="single" w:color="000000" w:sz="4" w:space="0"/>
            </w:tcBorders>
            <w:vAlign w:val="center"/>
          </w:tcPr>
          <w:p>
            <w:pPr>
              <w:widowControl/>
              <w:spacing w:line="220" w:lineRule="exact"/>
              <w:jc w:val="center"/>
              <w:rPr>
                <w:rFonts w:cs="Times New Roman"/>
                <w:color w:val="000000"/>
                <w:kern w:val="0"/>
                <w:sz w:val="18"/>
                <w:szCs w:val="18"/>
              </w:rPr>
            </w:pPr>
            <w:r>
              <w:rPr>
                <w:rFonts w:cs="Times New Roman"/>
                <w:color w:val="000000"/>
                <w:kern w:val="0"/>
                <w:sz w:val="18"/>
                <w:szCs w:val="18"/>
              </w:rPr>
              <w:t>可持续影响指标</w:t>
            </w:r>
          </w:p>
        </w:tc>
        <w:tc>
          <w:tcPr>
            <w:tcW w:w="1417" w:type="dxa"/>
            <w:tcBorders>
              <w:top w:val="single" w:color="000000" w:sz="4" w:space="0"/>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影响年限</w:t>
            </w:r>
          </w:p>
        </w:tc>
        <w:tc>
          <w:tcPr>
            <w:tcW w:w="2552" w:type="dxa"/>
            <w:gridSpan w:val="2"/>
            <w:tcBorders>
              <w:top w:val="nil"/>
              <w:left w:val="nil"/>
              <w:bottom w:val="single" w:color="000000" w:sz="4" w:space="0"/>
              <w:right w:val="single" w:color="000000" w:sz="4" w:space="0"/>
            </w:tcBorders>
            <w:vAlign w:val="center"/>
          </w:tcPr>
          <w:p>
            <w:pPr>
              <w:widowControl/>
              <w:spacing w:after="240" w:line="280" w:lineRule="exact"/>
              <w:jc w:val="center"/>
              <w:rPr>
                <w:rFonts w:cs="Times New Roman"/>
                <w:color w:val="000000"/>
                <w:kern w:val="0"/>
                <w:sz w:val="18"/>
                <w:szCs w:val="18"/>
              </w:rPr>
            </w:pPr>
            <w:r>
              <w:rPr>
                <w:rFonts w:cs="Times New Roman"/>
                <w:color w:val="000000"/>
                <w:kern w:val="0"/>
                <w:sz w:val="18"/>
                <w:szCs w:val="18"/>
              </w:rPr>
              <w:t>1年以上</w:t>
            </w:r>
          </w:p>
        </w:tc>
        <w:tc>
          <w:tcPr>
            <w:tcW w:w="3260" w:type="dxa"/>
            <w:tcBorders>
              <w:top w:val="nil"/>
              <w:left w:val="nil"/>
              <w:bottom w:val="single" w:color="000000" w:sz="4" w:space="0"/>
              <w:right w:val="single" w:color="000000" w:sz="4" w:space="0"/>
            </w:tcBorders>
            <w:vAlign w:val="center"/>
          </w:tcPr>
          <w:p>
            <w:pPr>
              <w:widowControl/>
              <w:spacing w:line="280" w:lineRule="exact"/>
              <w:jc w:val="center"/>
              <w:rPr>
                <w:rFonts w:cs="Times New Roman"/>
                <w:color w:val="000000"/>
                <w:kern w:val="0"/>
                <w:sz w:val="18"/>
                <w:szCs w:val="18"/>
              </w:rPr>
            </w:pPr>
            <w:r>
              <w:rPr>
                <w:rFonts w:cs="Times New Roman"/>
                <w:color w:val="000000"/>
                <w:kern w:val="0"/>
                <w:sz w:val="18"/>
                <w:szCs w:val="18"/>
              </w:rPr>
              <w:t>1年以上</w:t>
            </w:r>
          </w:p>
        </w:tc>
      </w:tr>
    </w:tbl>
    <w:p>
      <w:pPr>
        <w:spacing w:line="580" w:lineRule="exact"/>
        <w:ind w:left="640"/>
        <w:rPr>
          <w:rFonts w:eastAsia="方正仿宋简体" w:cs="Times New Roman"/>
          <w:color w:val="000000"/>
          <w:sz w:val="32"/>
          <w:szCs w:val="32"/>
        </w:rPr>
      </w:pPr>
      <w:bookmarkStart w:id="256" w:name="_Toc27555_WPSOffice_Level3"/>
      <w:r>
        <w:rPr>
          <w:rFonts w:eastAsia="方正仿宋简体" w:cs="Times New Roman"/>
          <w:color w:val="000000"/>
          <w:sz w:val="32"/>
          <w:szCs w:val="32"/>
        </w:rPr>
        <w:t>2.</w:t>
      </w:r>
      <w:r>
        <w:rPr>
          <w:rFonts w:hint="eastAsia" w:eastAsia="方正仿宋简体" w:cs="Times New Roman"/>
          <w:color w:val="000000"/>
          <w:sz w:val="32"/>
          <w:szCs w:val="32"/>
        </w:rPr>
        <w:t>单位</w:t>
      </w:r>
      <w:r>
        <w:rPr>
          <w:rFonts w:eastAsia="方正仿宋简体" w:cs="Times New Roman"/>
          <w:color w:val="000000"/>
          <w:sz w:val="32"/>
          <w:szCs w:val="32"/>
        </w:rPr>
        <w:t>绩效评价结果</w:t>
      </w:r>
      <w:bookmarkEnd w:id="256"/>
    </w:p>
    <w:p>
      <w:pPr>
        <w:spacing w:line="600" w:lineRule="exact"/>
        <w:ind w:firstLine="640" w:firstLineChars="200"/>
        <w:rPr>
          <w:rFonts w:eastAsia="方正仿宋简体" w:cs="Times New Roman"/>
          <w:color w:val="000000"/>
          <w:sz w:val="32"/>
          <w:szCs w:val="32"/>
        </w:rPr>
      </w:pPr>
      <w:r>
        <w:rPr>
          <w:rFonts w:hint="eastAsia" w:eastAsia="方正仿宋简体" w:cs="Times New Roman"/>
          <w:color w:val="000000"/>
          <w:sz w:val="32"/>
          <w:szCs w:val="32"/>
        </w:rPr>
        <w:t>我局对“事业登记管理专项经费”项目</w:t>
      </w:r>
      <w:r>
        <w:rPr>
          <w:rFonts w:eastAsia="方正仿宋简体" w:cs="Times New Roman"/>
          <w:color w:val="000000"/>
          <w:sz w:val="32"/>
          <w:szCs w:val="32"/>
        </w:rPr>
        <w:t>开展</w:t>
      </w:r>
      <w:r>
        <w:rPr>
          <w:rFonts w:hint="eastAsia" w:eastAsia="方正仿宋简体" w:cs="Times New Roman"/>
          <w:color w:val="000000"/>
          <w:sz w:val="32"/>
          <w:szCs w:val="32"/>
        </w:rPr>
        <w:t>了</w:t>
      </w:r>
      <w:r>
        <w:rPr>
          <w:rFonts w:eastAsia="方正仿宋简体" w:cs="Times New Roman"/>
          <w:color w:val="000000"/>
          <w:sz w:val="32"/>
          <w:szCs w:val="32"/>
        </w:rPr>
        <w:t>自评，《20</w:t>
      </w:r>
      <w:r>
        <w:rPr>
          <w:rFonts w:hint="eastAsia" w:eastAsia="方正仿宋简体" w:cs="Times New Roman"/>
          <w:color w:val="000000"/>
          <w:sz w:val="32"/>
          <w:szCs w:val="32"/>
        </w:rPr>
        <w:t>20</w:t>
      </w:r>
      <w:r>
        <w:rPr>
          <w:rFonts w:eastAsia="方正仿宋简体" w:cs="Times New Roman"/>
          <w:color w:val="000000"/>
          <w:sz w:val="32"/>
          <w:szCs w:val="32"/>
        </w:rPr>
        <w:t>年</w:t>
      </w:r>
      <w:r>
        <w:rPr>
          <w:rFonts w:hint="eastAsia" w:eastAsia="方正仿宋简体" w:cs="Times New Roman"/>
          <w:color w:val="000000"/>
          <w:sz w:val="32"/>
          <w:szCs w:val="32"/>
        </w:rPr>
        <w:t>单位项目</w:t>
      </w:r>
      <w:r>
        <w:rPr>
          <w:rFonts w:eastAsia="方正仿宋简体" w:cs="Times New Roman"/>
          <w:color w:val="000000"/>
          <w:sz w:val="32"/>
          <w:szCs w:val="32"/>
        </w:rPr>
        <w:t>支出绩效</w:t>
      </w:r>
      <w:r>
        <w:rPr>
          <w:rFonts w:hint="eastAsia" w:eastAsia="方正仿宋简体" w:cs="Times New Roman"/>
          <w:color w:val="000000"/>
          <w:sz w:val="32"/>
          <w:szCs w:val="32"/>
        </w:rPr>
        <w:t>自</w:t>
      </w:r>
      <w:r>
        <w:rPr>
          <w:rFonts w:eastAsia="方正仿宋简体" w:cs="Times New Roman"/>
          <w:color w:val="000000"/>
          <w:sz w:val="32"/>
          <w:szCs w:val="32"/>
        </w:rPr>
        <w:t>评报告》见附件</w:t>
      </w:r>
      <w:r>
        <w:rPr>
          <w:rFonts w:hint="eastAsia" w:eastAsia="方正仿宋简体" w:cs="Times New Roman"/>
          <w:color w:val="000000"/>
          <w:sz w:val="32"/>
          <w:szCs w:val="32"/>
        </w:rPr>
        <w:t>（第四部分）</w:t>
      </w:r>
      <w:r>
        <w:rPr>
          <w:rFonts w:eastAsia="方正仿宋简体" w:cs="Times New Roman"/>
          <w:color w:val="000000"/>
          <w:sz w:val="32"/>
          <w:szCs w:val="32"/>
        </w:rPr>
        <w:t>。</w:t>
      </w:r>
    </w:p>
    <w:p>
      <w:pPr>
        <w:autoSpaceDE w:val="0"/>
        <w:autoSpaceDN w:val="0"/>
        <w:adjustRightInd w:val="0"/>
        <w:spacing w:line="600" w:lineRule="exact"/>
        <w:ind w:firstLine="640" w:firstLineChars="200"/>
        <w:jc w:val="left"/>
        <w:rPr>
          <w:rFonts w:eastAsia="仿宋" w:cs="Times New Roman"/>
          <w:color w:val="000000"/>
          <w:sz w:val="32"/>
          <w:szCs w:val="32"/>
        </w:rPr>
      </w:pPr>
    </w:p>
    <w:p>
      <w:pPr>
        <w:adjustRightInd w:val="0"/>
        <w:snapToGrid w:val="0"/>
        <w:spacing w:line="570" w:lineRule="exact"/>
        <w:ind w:firstLine="645"/>
        <w:jc w:val="center"/>
        <w:rPr>
          <w:rFonts w:eastAsia="方正小标宋简体" w:cs="Times New Roman"/>
          <w:color w:val="000000"/>
          <w:sz w:val="44"/>
          <w:szCs w:val="44"/>
        </w:rPr>
      </w:pPr>
      <w:bookmarkStart w:id="257" w:name="_Toc30600_WPSOffice_Level1"/>
      <w:r>
        <w:rPr>
          <w:rFonts w:eastAsia="方正小标宋简体" w:cs="Times New Roman"/>
          <w:color w:val="000000"/>
          <w:sz w:val="44"/>
          <w:szCs w:val="44"/>
        </w:rPr>
        <w:t>第三部分  名词解释</w:t>
      </w:r>
      <w:bookmarkEnd w:id="257"/>
    </w:p>
    <w:p>
      <w:pPr>
        <w:adjustRightInd w:val="0"/>
        <w:snapToGrid w:val="0"/>
        <w:spacing w:line="570" w:lineRule="exact"/>
        <w:ind w:firstLine="645"/>
        <w:jc w:val="center"/>
        <w:rPr>
          <w:rFonts w:eastAsia="仿宋" w:cs="Times New Roman"/>
          <w:color w:val="000000"/>
          <w:sz w:val="32"/>
          <w:szCs w:val="32"/>
        </w:rPr>
      </w:pPr>
    </w:p>
    <w:p>
      <w:pPr>
        <w:pStyle w:val="30"/>
        <w:spacing w:line="570" w:lineRule="exact"/>
        <w:ind w:firstLine="640" w:firstLineChars="200"/>
        <w:rPr>
          <w:rFonts w:ascii="Times New Roman" w:eastAsia="方正仿宋简体" w:cs="Times New Roman"/>
          <w:sz w:val="32"/>
          <w:szCs w:val="32"/>
        </w:rPr>
      </w:pPr>
      <w:r>
        <w:rPr>
          <w:rFonts w:hint="eastAsia" w:ascii="Times New Roman" w:eastAsia="方正仿宋简体" w:cs="Times New Roman"/>
          <w:sz w:val="32"/>
          <w:szCs w:val="32"/>
        </w:rPr>
        <w:t>一、</w:t>
      </w:r>
      <w:r>
        <w:rPr>
          <w:rFonts w:ascii="Times New Roman" w:eastAsia="方正仿宋简体" w:cs="Times New Roman"/>
          <w:sz w:val="32"/>
          <w:szCs w:val="32"/>
        </w:rPr>
        <w:t xml:space="preserve">财政拨款收入：指单位从同级财政部门取得的财政预算资金。 </w:t>
      </w:r>
    </w:p>
    <w:p>
      <w:pPr>
        <w:pStyle w:val="30"/>
        <w:spacing w:line="570" w:lineRule="exact"/>
        <w:ind w:firstLine="640" w:firstLineChars="200"/>
        <w:rPr>
          <w:rFonts w:eastAsia="方正仿宋简体" w:cs="Times New Roman"/>
          <w:sz w:val="32"/>
          <w:szCs w:val="32"/>
        </w:rPr>
      </w:pPr>
      <w:r>
        <w:rPr>
          <w:rFonts w:hint="eastAsia" w:ascii="Times New Roman" w:eastAsia="方正仿宋简体" w:cs="Times New Roman"/>
          <w:sz w:val="32"/>
          <w:szCs w:val="32"/>
        </w:rPr>
        <w:t>二、</w:t>
      </w:r>
      <w:r>
        <w:rPr>
          <w:rStyle w:val="15"/>
          <w:rFonts w:eastAsia="方正仿宋简体" w:cs="Times New Roman"/>
          <w:b w:val="0"/>
          <w:sz w:val="32"/>
          <w:szCs w:val="32"/>
        </w:rPr>
        <w:t>一般公共服务（类）党委办公厅（室）及相关机构事务（款）行政运行（项）：</w:t>
      </w:r>
      <w:r>
        <w:rPr>
          <w:rFonts w:eastAsia="方正仿宋简体" w:cs="Times New Roman"/>
          <w:sz w:val="32"/>
          <w:szCs w:val="32"/>
        </w:rPr>
        <w:t>指在职职工工资等人员经费以及办公费、交通费、差旅费、水电费、接待费、维修费、会议费等商品和服务支出。</w:t>
      </w:r>
    </w:p>
    <w:p>
      <w:pPr>
        <w:spacing w:line="570" w:lineRule="exact"/>
        <w:ind w:firstLine="640" w:firstLineChars="200"/>
        <w:rPr>
          <w:rStyle w:val="15"/>
          <w:rFonts w:eastAsia="方正仿宋简体" w:cs="Times New Roman"/>
          <w:b w:val="0"/>
          <w:bCs/>
          <w:color w:val="000000"/>
          <w:sz w:val="32"/>
          <w:szCs w:val="32"/>
        </w:rPr>
      </w:pPr>
      <w:r>
        <w:rPr>
          <w:rStyle w:val="15"/>
          <w:rFonts w:hint="eastAsia" w:eastAsia="方正仿宋简体" w:cs="Times New Roman"/>
          <w:b w:val="0"/>
          <w:color w:val="000000"/>
          <w:sz w:val="32"/>
          <w:szCs w:val="32"/>
        </w:rPr>
        <w:t>三、</w:t>
      </w:r>
      <w:r>
        <w:rPr>
          <w:rStyle w:val="15"/>
          <w:rFonts w:eastAsia="方正仿宋简体" w:cs="Times New Roman"/>
          <w:b w:val="0"/>
          <w:color w:val="000000"/>
          <w:sz w:val="32"/>
          <w:szCs w:val="32"/>
        </w:rPr>
        <w:t>一般公共服务（类）党委办公厅（室）及相关机构事务（款）一般行政管理事务（项）：</w:t>
      </w:r>
      <w:r>
        <w:rPr>
          <w:rFonts w:eastAsia="方正仿宋简体" w:cs="Times New Roman"/>
          <w:color w:val="000000"/>
          <w:sz w:val="32"/>
          <w:szCs w:val="32"/>
        </w:rPr>
        <w:t>指为保障完成特定的行政工作任务或事业发展目标，用于专项业务工作的经费支出。</w:t>
      </w:r>
    </w:p>
    <w:p>
      <w:pPr>
        <w:spacing w:line="570" w:lineRule="exact"/>
        <w:ind w:firstLine="640" w:firstLineChars="200"/>
        <w:rPr>
          <w:rStyle w:val="15"/>
          <w:rFonts w:eastAsia="方正仿宋简体" w:cs="Times New Roman"/>
          <w:b w:val="0"/>
          <w:color w:val="000000"/>
          <w:sz w:val="32"/>
          <w:szCs w:val="32"/>
        </w:rPr>
      </w:pPr>
      <w:r>
        <w:rPr>
          <w:rStyle w:val="15"/>
          <w:rFonts w:hint="eastAsia" w:eastAsia="方正仿宋简体" w:cs="Times New Roman"/>
          <w:b w:val="0"/>
          <w:color w:val="000000"/>
          <w:sz w:val="32"/>
          <w:szCs w:val="32"/>
        </w:rPr>
        <w:t>四、</w:t>
      </w:r>
      <w:r>
        <w:rPr>
          <w:rStyle w:val="15"/>
          <w:rFonts w:eastAsia="方正仿宋简体" w:cs="Times New Roman"/>
          <w:b w:val="0"/>
          <w:color w:val="000000"/>
          <w:sz w:val="32"/>
          <w:szCs w:val="32"/>
        </w:rPr>
        <w:t>教育支出（类）进修及培训（款）培训支出（项）：指用于培训支出。</w:t>
      </w:r>
    </w:p>
    <w:p>
      <w:pPr>
        <w:spacing w:line="570" w:lineRule="exact"/>
        <w:ind w:firstLine="640" w:firstLineChars="200"/>
        <w:rPr>
          <w:rFonts w:eastAsia="方正仿宋简体" w:cs="Times New Roman"/>
          <w:color w:val="000000"/>
          <w:sz w:val="32"/>
          <w:szCs w:val="32"/>
        </w:rPr>
      </w:pPr>
      <w:r>
        <w:rPr>
          <w:rStyle w:val="15"/>
          <w:rFonts w:hint="eastAsia" w:eastAsia="方正仿宋简体" w:cs="Times New Roman"/>
          <w:b w:val="0"/>
          <w:color w:val="000000"/>
          <w:sz w:val="32"/>
          <w:szCs w:val="32"/>
        </w:rPr>
        <w:t>五、</w:t>
      </w:r>
      <w:r>
        <w:rPr>
          <w:rStyle w:val="15"/>
          <w:rFonts w:eastAsia="方正仿宋简体" w:cs="Times New Roman"/>
          <w:b w:val="0"/>
          <w:color w:val="000000"/>
          <w:sz w:val="32"/>
          <w:szCs w:val="32"/>
        </w:rPr>
        <w:t>社会保障和就业（类）行政事业单位养老支出（款）机关事业单位基本养老保险缴费支出（项）：</w:t>
      </w:r>
      <w:r>
        <w:rPr>
          <w:rFonts w:eastAsia="方正仿宋简体" w:cs="Times New Roman"/>
          <w:color w:val="000000"/>
          <w:sz w:val="32"/>
          <w:szCs w:val="32"/>
        </w:rPr>
        <w:t>指用于单位基本养老保险缴费支出。</w:t>
      </w:r>
    </w:p>
    <w:p>
      <w:pPr>
        <w:spacing w:line="570" w:lineRule="exact"/>
        <w:ind w:firstLine="640" w:firstLineChars="200"/>
        <w:rPr>
          <w:rFonts w:eastAsia="方正仿宋简体" w:cs="Times New Roman"/>
          <w:color w:val="000000"/>
          <w:sz w:val="32"/>
          <w:szCs w:val="32"/>
        </w:rPr>
      </w:pPr>
      <w:r>
        <w:rPr>
          <w:rStyle w:val="15"/>
          <w:rFonts w:hint="eastAsia" w:eastAsia="方正仿宋简体" w:cs="Times New Roman"/>
          <w:b w:val="0"/>
          <w:color w:val="000000"/>
          <w:sz w:val="32"/>
          <w:szCs w:val="32"/>
        </w:rPr>
        <w:t>六、</w:t>
      </w:r>
      <w:r>
        <w:rPr>
          <w:rStyle w:val="15"/>
          <w:rFonts w:eastAsia="方正仿宋简体" w:cs="Times New Roman"/>
          <w:b w:val="0"/>
          <w:color w:val="000000"/>
          <w:sz w:val="32"/>
          <w:szCs w:val="32"/>
        </w:rPr>
        <w:t>卫生健康（类）行政事业单位医疗（款）行政单位医疗（项）：</w:t>
      </w:r>
      <w:r>
        <w:rPr>
          <w:rFonts w:eastAsia="方正仿宋简体" w:cs="Times New Roman"/>
          <w:color w:val="000000"/>
          <w:sz w:val="32"/>
          <w:szCs w:val="32"/>
        </w:rPr>
        <w:t>指用于支付职工医疗保险。</w:t>
      </w:r>
    </w:p>
    <w:p>
      <w:pPr>
        <w:spacing w:line="570" w:lineRule="exact"/>
        <w:ind w:firstLine="640" w:firstLineChars="200"/>
        <w:rPr>
          <w:rFonts w:eastAsia="方正仿宋简体" w:cs="Times New Roman"/>
          <w:bCs/>
          <w:color w:val="000000"/>
          <w:sz w:val="32"/>
          <w:szCs w:val="32"/>
        </w:rPr>
      </w:pPr>
      <w:r>
        <w:rPr>
          <w:rFonts w:hint="eastAsia" w:eastAsia="方正仿宋简体" w:cs="Times New Roman"/>
          <w:color w:val="000000"/>
          <w:sz w:val="32"/>
          <w:szCs w:val="32"/>
        </w:rPr>
        <w:t>七、</w:t>
      </w:r>
      <w:r>
        <w:rPr>
          <w:rStyle w:val="15"/>
          <w:rFonts w:eastAsia="方正仿宋简体" w:cs="Times New Roman"/>
          <w:b w:val="0"/>
          <w:color w:val="000000"/>
          <w:sz w:val="32"/>
          <w:szCs w:val="32"/>
        </w:rPr>
        <w:t>卫生健康（类）行政事业单位医疗（款）公务员医疗（项）：指公务员医疗补助经费。</w:t>
      </w:r>
    </w:p>
    <w:p>
      <w:pPr>
        <w:spacing w:line="570" w:lineRule="exact"/>
        <w:ind w:firstLine="640"/>
        <w:rPr>
          <w:rFonts w:eastAsia="方正仿宋简体" w:cs="Times New Roman"/>
          <w:color w:val="000000"/>
          <w:sz w:val="32"/>
          <w:szCs w:val="32"/>
        </w:rPr>
      </w:pPr>
      <w:r>
        <w:rPr>
          <w:rFonts w:hint="eastAsia" w:eastAsia="方正仿宋简体" w:cs="Times New Roman"/>
          <w:color w:val="000000"/>
          <w:sz w:val="32"/>
          <w:szCs w:val="32"/>
        </w:rPr>
        <w:t>八、</w:t>
      </w:r>
      <w:r>
        <w:rPr>
          <w:rStyle w:val="15"/>
          <w:rFonts w:eastAsia="方正仿宋简体" w:cs="Times New Roman"/>
          <w:b w:val="0"/>
          <w:color w:val="000000"/>
          <w:sz w:val="32"/>
          <w:szCs w:val="32"/>
        </w:rPr>
        <w:t>住房保障支出（类）住房改革支出（款）住房公积金（项）：</w:t>
      </w:r>
      <w:r>
        <w:rPr>
          <w:rFonts w:eastAsia="方正仿宋简体" w:cs="Times New Roman"/>
          <w:color w:val="000000"/>
          <w:sz w:val="32"/>
          <w:szCs w:val="32"/>
        </w:rPr>
        <w:t>指用于支付职工住房公积金。</w:t>
      </w:r>
    </w:p>
    <w:p>
      <w:pPr>
        <w:spacing w:line="570" w:lineRule="exact"/>
        <w:ind w:firstLine="640"/>
        <w:rPr>
          <w:rFonts w:eastAsia="方正仿宋简体" w:cs="Times New Roman"/>
          <w:color w:val="000000"/>
          <w:sz w:val="32"/>
          <w:szCs w:val="32"/>
        </w:rPr>
      </w:pPr>
      <w:r>
        <w:rPr>
          <w:rFonts w:hint="eastAsia" w:eastAsia="方正仿宋简体" w:cs="Times New Roman"/>
          <w:color w:val="000000"/>
          <w:sz w:val="32"/>
          <w:szCs w:val="32"/>
        </w:rPr>
        <w:t>九、</w:t>
      </w:r>
      <w:r>
        <w:rPr>
          <w:rStyle w:val="15"/>
          <w:rFonts w:eastAsia="方正仿宋简体" w:cs="Times New Roman"/>
          <w:b w:val="0"/>
          <w:color w:val="000000"/>
          <w:sz w:val="32"/>
          <w:szCs w:val="32"/>
        </w:rPr>
        <w:t>住房保障支出（类）住房改革支出（款）购房补贴（项）：</w:t>
      </w:r>
      <w:r>
        <w:rPr>
          <w:rFonts w:eastAsia="方正仿宋简体" w:cs="Times New Roman"/>
          <w:color w:val="000000"/>
          <w:sz w:val="32"/>
          <w:szCs w:val="32"/>
        </w:rPr>
        <w:t>指向符合条件职工发放的用于购买住房的补贴。</w:t>
      </w:r>
    </w:p>
    <w:p>
      <w:pPr>
        <w:spacing w:line="570" w:lineRule="exact"/>
        <w:ind w:firstLine="640" w:firstLineChars="200"/>
        <w:rPr>
          <w:rFonts w:eastAsia="方正仿宋简体" w:cs="Times New Roman"/>
          <w:color w:val="000000"/>
          <w:sz w:val="32"/>
          <w:szCs w:val="32"/>
        </w:rPr>
      </w:pPr>
      <w:r>
        <w:rPr>
          <w:rFonts w:hint="eastAsia" w:eastAsia="方正仿宋简体" w:cs="Times New Roman"/>
          <w:color w:val="000000"/>
          <w:sz w:val="32"/>
          <w:szCs w:val="32"/>
        </w:rPr>
        <w:t>十、</w:t>
      </w:r>
      <w:r>
        <w:rPr>
          <w:rFonts w:eastAsia="方正仿宋简体" w:cs="Times New Roman"/>
          <w:color w:val="000000"/>
          <w:sz w:val="32"/>
          <w:szCs w:val="32"/>
        </w:rPr>
        <w:t>基本支出：指为保障机构正常运转、完成日常工作任务而发生的人员支出和公用支出。</w:t>
      </w:r>
    </w:p>
    <w:p>
      <w:pPr>
        <w:spacing w:line="570" w:lineRule="exact"/>
        <w:ind w:firstLine="640" w:firstLineChars="200"/>
        <w:rPr>
          <w:rFonts w:eastAsia="方正仿宋简体" w:cs="Times New Roman"/>
          <w:color w:val="000000"/>
          <w:sz w:val="32"/>
          <w:szCs w:val="32"/>
        </w:rPr>
      </w:pPr>
      <w:r>
        <w:rPr>
          <w:rFonts w:hint="eastAsia" w:eastAsia="方正仿宋简体" w:cs="Times New Roman"/>
          <w:color w:val="000000"/>
          <w:sz w:val="32"/>
          <w:szCs w:val="32"/>
        </w:rPr>
        <w:t>十一、</w:t>
      </w:r>
      <w:r>
        <w:rPr>
          <w:rFonts w:eastAsia="方正仿宋简体" w:cs="Times New Roman"/>
          <w:color w:val="000000"/>
          <w:sz w:val="32"/>
          <w:szCs w:val="32"/>
        </w:rPr>
        <w:t xml:space="preserve">项目支出：指在基本支出之外为完成特定行政任务和事业发展目标所发生的支出。 </w:t>
      </w:r>
    </w:p>
    <w:p>
      <w:pPr>
        <w:pStyle w:val="30"/>
        <w:spacing w:line="570" w:lineRule="exact"/>
        <w:ind w:firstLine="640" w:firstLineChars="200"/>
        <w:rPr>
          <w:rFonts w:ascii="Times New Roman" w:eastAsia="方正仿宋简体" w:cs="Times New Roman"/>
          <w:sz w:val="32"/>
          <w:szCs w:val="32"/>
        </w:rPr>
      </w:pPr>
      <w:r>
        <w:rPr>
          <w:rFonts w:hint="eastAsia" w:ascii="Times New Roman" w:eastAsia="方正仿宋简体" w:cs="Times New Roman"/>
          <w:sz w:val="32"/>
          <w:szCs w:val="32"/>
        </w:rPr>
        <w:t>十二、“</w:t>
      </w:r>
      <w:r>
        <w:rPr>
          <w:rFonts w:ascii="Times New Roman" w:eastAsia="方正仿宋简体" w:cs="Times New Roman"/>
          <w:sz w:val="32"/>
          <w:szCs w:val="32"/>
        </w:rPr>
        <w:t>三公</w:t>
      </w:r>
      <w:r>
        <w:rPr>
          <w:rFonts w:hint="eastAsia" w:ascii="Times New Roman" w:eastAsia="方正仿宋简体" w:cs="Times New Roman"/>
          <w:sz w:val="32"/>
          <w:szCs w:val="32"/>
        </w:rPr>
        <w:t>”</w:t>
      </w:r>
      <w:r>
        <w:rPr>
          <w:rFonts w:ascii="Times New Roman" w:eastAsia="方正仿宋简体" w:cs="Times New Roman"/>
          <w:sz w:val="32"/>
          <w:szCs w:val="32"/>
        </w:rPr>
        <w:t>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30"/>
        <w:spacing w:line="570" w:lineRule="exact"/>
        <w:ind w:firstLine="640" w:firstLineChars="200"/>
        <w:rPr>
          <w:rFonts w:ascii="Times New Roman" w:cs="Times New Roman"/>
          <w:sz w:val="32"/>
          <w:szCs w:val="32"/>
        </w:rPr>
      </w:pPr>
      <w:r>
        <w:rPr>
          <w:rFonts w:hint="eastAsia" w:ascii="Times New Roman" w:eastAsia="方正仿宋简体" w:cs="Times New Roman"/>
          <w:sz w:val="32"/>
          <w:szCs w:val="32"/>
        </w:rPr>
        <w:t>十三、</w:t>
      </w:r>
      <w:r>
        <w:rPr>
          <w:rFonts w:ascii="Times New Roman" w:eastAsia="方正仿宋简体"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以及其他费用。</w:t>
      </w:r>
    </w:p>
    <w:p>
      <w:pPr>
        <w:spacing w:line="600" w:lineRule="exact"/>
        <w:jc w:val="center"/>
        <w:outlineLvl w:val="0"/>
        <w:rPr>
          <w:rStyle w:val="19"/>
          <w:rFonts w:hint="eastAsia" w:eastAsia="方正小标宋简体" w:cs="Times New Roman"/>
          <w:b w:val="0"/>
          <w:color w:val="000000"/>
        </w:rPr>
      </w:pPr>
      <w:bookmarkStart w:id="258" w:name="_Toc30311_WPSOffice_Level1"/>
      <w:bookmarkStart w:id="259" w:name="_Toc16154371"/>
      <w:bookmarkStart w:id="260" w:name="_Toc80806126"/>
      <w:bookmarkStart w:id="261" w:name="_Toc80805993"/>
      <w:bookmarkStart w:id="262" w:name="_Toc81232268"/>
      <w:bookmarkStart w:id="263" w:name="_Toc15377226"/>
      <w:r>
        <w:rPr>
          <w:rFonts w:eastAsia="方正小标宋简体" w:cs="Times New Roman"/>
          <w:color w:val="000000"/>
          <w:sz w:val="44"/>
          <w:szCs w:val="44"/>
        </w:rPr>
        <w:t>第</w:t>
      </w:r>
      <w:r>
        <w:rPr>
          <w:rStyle w:val="19"/>
          <w:rFonts w:eastAsia="方正小标宋简体" w:cs="Times New Roman"/>
          <w:b w:val="0"/>
          <w:color w:val="000000"/>
        </w:rPr>
        <w:t>四部分  附件</w:t>
      </w:r>
      <w:bookmarkEnd w:id="258"/>
      <w:bookmarkEnd w:id="259"/>
      <w:bookmarkEnd w:id="260"/>
      <w:bookmarkEnd w:id="261"/>
      <w:bookmarkEnd w:id="262"/>
    </w:p>
    <w:p>
      <w:pPr>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2020年单位预算项目支出绩效自评报告</w:t>
      </w:r>
    </w:p>
    <w:p>
      <w:pPr>
        <w:tabs>
          <w:tab w:val="left" w:pos="3885"/>
        </w:tabs>
        <w:snapToGrid w:val="0"/>
        <w:spacing w:line="600" w:lineRule="exact"/>
        <w:jc w:val="center"/>
        <w:rPr>
          <w:rFonts w:hint="eastAsia" w:hAnsi="宋体" w:eastAsia="仿宋_GB2312"/>
          <w:sz w:val="32"/>
          <w:szCs w:val="32"/>
        </w:rPr>
      </w:pPr>
      <w:r>
        <w:rPr>
          <w:rFonts w:hint="eastAsia" w:hAnsi="宋体" w:eastAsia="仿宋_GB2312"/>
          <w:sz w:val="32"/>
          <w:szCs w:val="32"/>
        </w:rPr>
        <w:t>（</w:t>
      </w:r>
      <w:r>
        <w:rPr>
          <w:rFonts w:hint="eastAsia" w:eastAsia="方正仿宋简体" w:cs="Times New Roman"/>
          <w:color w:val="000000"/>
          <w:sz w:val="32"/>
          <w:szCs w:val="32"/>
        </w:rPr>
        <w:t>事业单位登记管理专项经费</w:t>
      </w:r>
      <w:r>
        <w:rPr>
          <w:rFonts w:hint="eastAsia" w:hAnsi="宋体" w:eastAsia="仿宋_GB2312"/>
          <w:sz w:val="32"/>
          <w:szCs w:val="32"/>
        </w:rPr>
        <w:t>项目）</w:t>
      </w:r>
    </w:p>
    <w:p>
      <w:pPr>
        <w:pStyle w:val="2"/>
        <w:spacing w:before="173"/>
        <w:rPr>
          <w:rFonts w:eastAsia="宋体"/>
          <w:sz w:val="21"/>
          <w:szCs w:val="21"/>
        </w:rPr>
      </w:pPr>
    </w:p>
    <w:p>
      <w:pPr>
        <w:rPr>
          <w:rFonts w:ascii="黑体" w:hAnsi="黑体" w:eastAsia="黑体"/>
          <w:sz w:val="32"/>
          <w:szCs w:val="32"/>
        </w:rPr>
      </w:pPr>
      <w:r>
        <w:rPr>
          <w:rFonts w:hint="eastAsia" w:ascii="黑体" w:hAnsi="黑体" w:eastAsia="黑体"/>
          <w:sz w:val="32"/>
          <w:szCs w:val="32"/>
        </w:rPr>
        <w:t xml:space="preserve">    一、基本情况</w:t>
      </w:r>
      <w:r>
        <w:rPr>
          <w:rFonts w:eastAsia="方正仿宋简体"/>
          <w:sz w:val="32"/>
          <w:szCs w:val="32"/>
        </w:rPr>
        <w:t xml:space="preserve"> </w:t>
      </w:r>
      <w:r>
        <w:rPr>
          <w:rFonts w:eastAsia="方正仿宋简体" w:cs="Times New Roman"/>
          <w:color w:val="000000"/>
          <w:sz w:val="32"/>
          <w:szCs w:val="32"/>
        </w:rPr>
        <w:t xml:space="preserve">  </w:t>
      </w:r>
    </w:p>
    <w:p>
      <w:pPr>
        <w:tabs>
          <w:tab w:val="left" w:pos="3885"/>
        </w:tabs>
        <w:overflowPunct w:val="0"/>
        <w:topLinePunct/>
        <w:snapToGrid w:val="0"/>
        <w:spacing w:line="580" w:lineRule="exact"/>
        <w:ind w:firstLine="640" w:firstLineChars="200"/>
        <w:rPr>
          <w:rFonts w:hint="eastAsia" w:eastAsia="方正仿宋简体" w:cs="Times New Roman"/>
          <w:color w:val="000000"/>
          <w:sz w:val="32"/>
          <w:szCs w:val="32"/>
        </w:rPr>
      </w:pPr>
      <w:r>
        <w:rPr>
          <w:rFonts w:hint="eastAsia" w:eastAsia="方正仿宋简体" w:cs="Times New Roman"/>
          <w:color w:val="000000"/>
          <w:sz w:val="32"/>
          <w:szCs w:val="32"/>
        </w:rPr>
        <w:t>项目名称：事业单位登记管理专项经费</w:t>
      </w:r>
    </w:p>
    <w:p>
      <w:pPr>
        <w:tabs>
          <w:tab w:val="left" w:pos="3885"/>
        </w:tabs>
        <w:overflowPunct w:val="0"/>
        <w:topLinePunct/>
        <w:snapToGrid w:val="0"/>
        <w:spacing w:line="580" w:lineRule="exact"/>
        <w:ind w:firstLine="640" w:firstLineChars="200"/>
        <w:rPr>
          <w:rFonts w:eastAsia="方正仿宋简体" w:cs="Times New Roman"/>
          <w:color w:val="000000"/>
          <w:sz w:val="32"/>
          <w:szCs w:val="32"/>
        </w:rPr>
      </w:pPr>
      <w:r>
        <w:rPr>
          <w:rFonts w:hint="eastAsia" w:eastAsia="方正仿宋简体" w:cs="Times New Roman"/>
          <w:color w:val="000000"/>
          <w:sz w:val="32"/>
          <w:szCs w:val="32"/>
        </w:rPr>
        <w:t>项目单位：四川省事业单位登记管理局</w:t>
      </w:r>
    </w:p>
    <w:p>
      <w:pPr>
        <w:tabs>
          <w:tab w:val="left" w:pos="3885"/>
        </w:tabs>
        <w:overflowPunct w:val="0"/>
        <w:topLinePunct/>
        <w:snapToGrid w:val="0"/>
        <w:spacing w:line="580" w:lineRule="exact"/>
        <w:ind w:firstLine="640" w:firstLineChars="200"/>
        <w:rPr>
          <w:rFonts w:eastAsia="方正仿宋简体" w:cs="Times New Roman"/>
          <w:color w:val="000000"/>
          <w:sz w:val="32"/>
          <w:szCs w:val="32"/>
        </w:rPr>
      </w:pPr>
      <w:r>
        <w:rPr>
          <w:rFonts w:hint="eastAsia" w:eastAsia="方正仿宋简体" w:cs="Times New Roman"/>
          <w:color w:val="000000"/>
          <w:sz w:val="32"/>
          <w:szCs w:val="32"/>
        </w:rPr>
        <w:t>主管部门：中共四川省委机构编制委员会办公室</w:t>
      </w:r>
    </w:p>
    <w:p>
      <w:pPr>
        <w:tabs>
          <w:tab w:val="left" w:pos="3885"/>
        </w:tabs>
        <w:overflowPunct w:val="0"/>
        <w:topLinePunct/>
        <w:snapToGrid w:val="0"/>
        <w:spacing w:line="580" w:lineRule="exact"/>
        <w:ind w:firstLine="640" w:firstLineChars="200"/>
        <w:rPr>
          <w:rFonts w:eastAsia="方正仿宋简体" w:cs="Times New Roman"/>
          <w:color w:val="000000"/>
          <w:sz w:val="32"/>
          <w:szCs w:val="32"/>
        </w:rPr>
      </w:pPr>
      <w:r>
        <w:rPr>
          <w:rFonts w:hint="eastAsia" w:eastAsia="方正仿宋简体" w:cs="Times New Roman"/>
          <w:color w:val="000000"/>
          <w:sz w:val="32"/>
          <w:szCs w:val="32"/>
        </w:rPr>
        <w:t>项目属性：延续性项目</w:t>
      </w:r>
    </w:p>
    <w:p>
      <w:pPr>
        <w:tabs>
          <w:tab w:val="left" w:pos="3885"/>
        </w:tabs>
        <w:overflowPunct w:val="0"/>
        <w:topLinePunct/>
        <w:snapToGrid w:val="0"/>
        <w:spacing w:line="580" w:lineRule="exact"/>
        <w:ind w:firstLine="640" w:firstLineChars="200"/>
        <w:rPr>
          <w:rFonts w:eastAsia="方正仿宋简体" w:cs="Times New Roman"/>
          <w:color w:val="000000"/>
          <w:sz w:val="32"/>
          <w:szCs w:val="32"/>
        </w:rPr>
      </w:pPr>
      <w:r>
        <w:rPr>
          <w:rFonts w:hint="eastAsia" w:eastAsia="方正仿宋简体" w:cs="Times New Roman"/>
          <w:color w:val="000000"/>
          <w:sz w:val="32"/>
          <w:szCs w:val="32"/>
        </w:rPr>
        <w:t>资金投入使用情况：本项目全部为省级财政资金。纳入</w:t>
      </w:r>
      <w:r>
        <w:rPr>
          <w:rFonts w:eastAsia="方正仿宋简体" w:cs="Times New Roman"/>
          <w:color w:val="000000"/>
          <w:sz w:val="32"/>
          <w:szCs w:val="32"/>
        </w:rPr>
        <w:t>2020</w:t>
      </w:r>
      <w:r>
        <w:rPr>
          <w:rFonts w:hint="eastAsia" w:eastAsia="方正仿宋简体" w:cs="Times New Roman"/>
          <w:color w:val="000000"/>
          <w:sz w:val="32"/>
          <w:szCs w:val="32"/>
        </w:rPr>
        <w:t>年部门预算项目资金为</w:t>
      </w:r>
      <w:r>
        <w:rPr>
          <w:rFonts w:eastAsia="方正仿宋简体" w:cs="Times New Roman"/>
          <w:color w:val="000000"/>
          <w:sz w:val="32"/>
          <w:szCs w:val="32"/>
        </w:rPr>
        <w:t>27.90</w:t>
      </w:r>
      <w:r>
        <w:rPr>
          <w:rFonts w:hint="eastAsia" w:eastAsia="方正仿宋简体" w:cs="Times New Roman"/>
          <w:color w:val="000000"/>
          <w:sz w:val="32"/>
          <w:szCs w:val="32"/>
        </w:rPr>
        <w:t>万元，实际执行金额为</w:t>
      </w:r>
      <w:r>
        <w:rPr>
          <w:rFonts w:eastAsia="方正仿宋简体" w:cs="Times New Roman"/>
          <w:color w:val="000000"/>
          <w:sz w:val="32"/>
          <w:szCs w:val="32"/>
        </w:rPr>
        <w:t>26.13</w:t>
      </w:r>
      <w:r>
        <w:rPr>
          <w:rFonts w:hint="eastAsia" w:eastAsia="方正仿宋简体" w:cs="Times New Roman"/>
          <w:color w:val="000000"/>
          <w:sz w:val="32"/>
          <w:szCs w:val="32"/>
        </w:rPr>
        <w:t>万元，预算执行率为</w:t>
      </w:r>
      <w:r>
        <w:rPr>
          <w:rFonts w:eastAsia="方正仿宋简体" w:cs="Times New Roman"/>
          <w:color w:val="000000"/>
          <w:sz w:val="32"/>
          <w:szCs w:val="32"/>
        </w:rPr>
        <w:t>93.65%</w:t>
      </w:r>
      <w:r>
        <w:rPr>
          <w:rFonts w:hint="eastAsia" w:eastAsia="方正仿宋简体" w:cs="Times New Roman"/>
          <w:color w:val="000000"/>
          <w:sz w:val="32"/>
          <w:szCs w:val="32"/>
        </w:rPr>
        <w:t>。</w:t>
      </w:r>
    </w:p>
    <w:p>
      <w:pPr>
        <w:spacing w:line="600" w:lineRule="exact"/>
        <w:jc w:val="left"/>
        <w:rPr>
          <w:rFonts w:eastAsia="方正仿宋简体" w:cs="Times New Roman"/>
          <w:color w:val="000000"/>
          <w:sz w:val="32"/>
          <w:szCs w:val="32"/>
        </w:rPr>
      </w:pPr>
      <w:r>
        <w:rPr>
          <w:rFonts w:hint="eastAsia" w:eastAsia="方正仿宋简体" w:cs="Times New Roman"/>
          <w:color w:val="000000"/>
          <w:sz w:val="32"/>
          <w:szCs w:val="32"/>
        </w:rPr>
        <w:t xml:space="preserve">    项目实施情况：按照年度工作安排，项目支出有力保障了事业单位登记管理相关业务工作顺利开展，主要完成：</w:t>
      </w:r>
      <w:r>
        <w:rPr>
          <w:rFonts w:eastAsia="方正仿宋简体" w:cs="Times New Roman"/>
          <w:color w:val="000000"/>
          <w:sz w:val="32"/>
          <w:szCs w:val="32"/>
        </w:rPr>
        <w:t>1.</w:t>
      </w:r>
      <w:r>
        <w:rPr>
          <w:rFonts w:hint="eastAsia" w:eastAsia="方正仿宋简体" w:cs="Times New Roman"/>
          <w:color w:val="000000"/>
          <w:sz w:val="32"/>
          <w:szCs w:val="32"/>
        </w:rPr>
        <w:t>事业单位法人年度报告公示；</w:t>
      </w:r>
      <w:r>
        <w:rPr>
          <w:rFonts w:eastAsia="方正仿宋简体" w:cs="Times New Roman"/>
          <w:color w:val="000000"/>
          <w:sz w:val="32"/>
          <w:szCs w:val="32"/>
        </w:rPr>
        <w:t xml:space="preserve">2. </w:t>
      </w:r>
      <w:r>
        <w:rPr>
          <w:rFonts w:hint="eastAsia" w:eastAsia="方正仿宋简体" w:cs="Times New Roman"/>
          <w:color w:val="000000"/>
          <w:sz w:val="32"/>
          <w:szCs w:val="32"/>
        </w:rPr>
        <w:t>事业单位法人公示信息“双随机、一公开”抽查。</w:t>
      </w:r>
    </w:p>
    <w:p>
      <w:pPr>
        <w:tabs>
          <w:tab w:val="left" w:pos="3885"/>
        </w:tabs>
        <w:overflowPunct w:val="0"/>
        <w:topLinePunct/>
        <w:snapToGrid w:val="0"/>
        <w:spacing w:line="580" w:lineRule="exact"/>
        <w:ind w:firstLine="640" w:firstLineChars="200"/>
        <w:rPr>
          <w:rFonts w:eastAsia="方正仿宋简体" w:cs="Times New Roman"/>
          <w:color w:val="000000"/>
          <w:sz w:val="32"/>
          <w:szCs w:val="32"/>
        </w:rPr>
      </w:pPr>
      <w:r>
        <w:rPr>
          <w:rFonts w:hint="eastAsia" w:eastAsia="方正仿宋简体" w:cs="Times New Roman"/>
          <w:color w:val="000000"/>
          <w:sz w:val="32"/>
          <w:szCs w:val="32"/>
        </w:rPr>
        <w:t>项目绩效目标：为确保本项目经费使用规范高效，共设置数量指标、完成率指标、时效指标和可持续影响指标共</w:t>
      </w:r>
      <w:r>
        <w:rPr>
          <w:rFonts w:eastAsia="方正仿宋简体" w:cs="Times New Roman"/>
          <w:color w:val="000000"/>
          <w:sz w:val="32"/>
          <w:szCs w:val="32"/>
        </w:rPr>
        <w:t>4</w:t>
      </w:r>
      <w:r>
        <w:rPr>
          <w:rFonts w:hint="eastAsia" w:eastAsia="方正仿宋简体" w:cs="Times New Roman"/>
          <w:color w:val="000000"/>
          <w:sz w:val="32"/>
          <w:szCs w:val="32"/>
        </w:rPr>
        <w:t>项。</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2126"/>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方正仿宋简体" w:cs="Times New Roman"/>
                <w:color w:val="000000"/>
                <w:kern w:val="0"/>
                <w:sz w:val="28"/>
                <w:szCs w:val="28"/>
              </w:rPr>
            </w:pPr>
            <w:r>
              <w:rPr>
                <w:rFonts w:hint="eastAsia" w:eastAsia="方正仿宋简体" w:cs="Times New Roman"/>
                <w:color w:val="000000"/>
                <w:kern w:val="0"/>
                <w:sz w:val="28"/>
                <w:szCs w:val="28"/>
              </w:rPr>
              <w:t>一级指标</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方正仿宋简体" w:cs="Times New Roman"/>
                <w:color w:val="000000"/>
                <w:kern w:val="0"/>
                <w:sz w:val="28"/>
                <w:szCs w:val="28"/>
              </w:rPr>
            </w:pPr>
            <w:r>
              <w:rPr>
                <w:rFonts w:hint="eastAsia" w:eastAsia="方正仿宋简体" w:cs="Times New Roman"/>
                <w:color w:val="000000"/>
                <w:kern w:val="0"/>
                <w:sz w:val="28"/>
                <w:szCs w:val="28"/>
              </w:rPr>
              <w:t>二级指标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eastAsia="方正仿宋简体" w:cs="Times New Roman"/>
                <w:color w:val="000000"/>
                <w:kern w:val="0"/>
                <w:sz w:val="28"/>
                <w:szCs w:val="28"/>
              </w:rPr>
            </w:pPr>
            <w:r>
              <w:rPr>
                <w:rFonts w:hint="eastAsia" w:eastAsia="方正仿宋简体" w:cs="Times New Roman"/>
                <w:color w:val="000000"/>
                <w:kern w:val="0"/>
                <w:sz w:val="28"/>
                <w:szCs w:val="28"/>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方正仿宋简体" w:cs="Times New Roman"/>
                <w:color w:val="000000"/>
                <w:kern w:val="0"/>
                <w:sz w:val="28"/>
                <w:szCs w:val="28"/>
              </w:rPr>
            </w:pPr>
            <w:r>
              <w:rPr>
                <w:rFonts w:hint="eastAsia" w:eastAsia="方正仿宋简体" w:cs="Times New Roman"/>
                <w:color w:val="000000"/>
                <w:kern w:val="0"/>
                <w:sz w:val="28"/>
                <w:szCs w:val="28"/>
              </w:rPr>
              <w:t>项目完成指标</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方正仿宋简体" w:cs="Times New Roman"/>
                <w:color w:val="000000"/>
                <w:kern w:val="0"/>
                <w:sz w:val="28"/>
                <w:szCs w:val="28"/>
              </w:rPr>
            </w:pPr>
            <w:r>
              <w:rPr>
                <w:rFonts w:hint="eastAsia" w:eastAsia="方正仿宋简体" w:cs="Times New Roman"/>
                <w:color w:val="000000"/>
                <w:kern w:val="0"/>
                <w:sz w:val="28"/>
                <w:szCs w:val="28"/>
              </w:rPr>
              <w:t>数量指标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eastAsia="方正仿宋简体" w:cs="Times New Roman"/>
                <w:color w:val="000000"/>
                <w:kern w:val="0"/>
                <w:sz w:val="28"/>
                <w:szCs w:val="28"/>
              </w:rPr>
            </w:pPr>
            <w:r>
              <w:rPr>
                <w:rFonts w:eastAsia="方正仿宋简体" w:cs="Times New Roman"/>
                <w:color w:val="000000"/>
                <w:kern w:val="0"/>
                <w:sz w:val="28"/>
                <w:szCs w:val="28"/>
              </w:rPr>
              <w:t xml:space="preserve">1. </w:t>
            </w:r>
            <w:r>
              <w:rPr>
                <w:rFonts w:hint="eastAsia" w:eastAsia="方正仿宋简体" w:cs="Times New Roman"/>
                <w:color w:val="000000"/>
                <w:kern w:val="0"/>
                <w:sz w:val="28"/>
                <w:szCs w:val="28"/>
              </w:rPr>
              <w:t>事业单位法人年度报告公示；</w:t>
            </w:r>
            <w:r>
              <w:rPr>
                <w:rFonts w:eastAsia="方正仿宋简体" w:cs="Times New Roman"/>
                <w:color w:val="000000"/>
                <w:kern w:val="0"/>
                <w:sz w:val="28"/>
                <w:szCs w:val="28"/>
              </w:rPr>
              <w:t>2.</w:t>
            </w:r>
            <w:r>
              <w:rPr>
                <w:rFonts w:hint="eastAsia" w:eastAsia="方正仿宋简体" w:cs="Times New Roman"/>
                <w:color w:val="000000"/>
                <w:kern w:val="0"/>
                <w:sz w:val="28"/>
                <w:szCs w:val="28"/>
              </w:rPr>
              <w:t>事业单位法人公示信息“双随机、一公开”抽查。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方正仿宋简体" w:cs="Times New Roman"/>
                <w:color w:val="000000"/>
                <w:kern w:val="0"/>
                <w:sz w:val="28"/>
                <w:szCs w:val="28"/>
              </w:rPr>
            </w:pPr>
            <w:r>
              <w:rPr>
                <w:rFonts w:hint="eastAsia" w:eastAsia="方正仿宋简体" w:cs="Times New Roman"/>
                <w:color w:val="000000"/>
                <w:kern w:val="0"/>
                <w:sz w:val="28"/>
                <w:szCs w:val="28"/>
              </w:rPr>
              <w:t>项目完成指标</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方正仿宋简体" w:cs="Times New Roman"/>
                <w:color w:val="000000"/>
                <w:kern w:val="0"/>
                <w:sz w:val="28"/>
                <w:szCs w:val="28"/>
              </w:rPr>
            </w:pPr>
            <w:r>
              <w:rPr>
                <w:rFonts w:hint="eastAsia" w:eastAsia="方正仿宋简体" w:cs="Times New Roman"/>
                <w:color w:val="000000"/>
                <w:kern w:val="0"/>
                <w:sz w:val="28"/>
                <w:szCs w:val="28"/>
              </w:rPr>
              <w:t>完成率指标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方正仿宋简体" w:cs="Times New Roman"/>
                <w:color w:val="000000"/>
                <w:kern w:val="0"/>
                <w:sz w:val="28"/>
                <w:szCs w:val="28"/>
              </w:rPr>
            </w:pPr>
            <w:r>
              <w:rPr>
                <w:rFonts w:hint="eastAsia" w:eastAsia="方正仿宋简体" w:cs="Times New Roman"/>
                <w:color w:val="000000"/>
                <w:kern w:val="0"/>
                <w:sz w:val="28"/>
                <w:szCs w:val="28"/>
              </w:rPr>
              <w:t>公示率、抽查整改完成率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方正仿宋简体" w:cs="Times New Roman"/>
                <w:color w:val="000000"/>
                <w:kern w:val="0"/>
                <w:sz w:val="28"/>
                <w:szCs w:val="28"/>
              </w:rPr>
            </w:pPr>
            <w:r>
              <w:rPr>
                <w:rFonts w:hint="eastAsia" w:eastAsia="方正仿宋简体" w:cs="Times New Roman"/>
                <w:color w:val="000000"/>
                <w:kern w:val="0"/>
                <w:sz w:val="28"/>
                <w:szCs w:val="28"/>
              </w:rPr>
              <w:t>项目完成指标</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方正仿宋简体" w:cs="Times New Roman"/>
                <w:color w:val="000000"/>
                <w:kern w:val="0"/>
                <w:sz w:val="28"/>
                <w:szCs w:val="28"/>
              </w:rPr>
            </w:pPr>
            <w:r>
              <w:rPr>
                <w:rFonts w:hint="eastAsia" w:eastAsia="方正仿宋简体" w:cs="Times New Roman"/>
                <w:color w:val="000000"/>
                <w:kern w:val="0"/>
                <w:sz w:val="28"/>
                <w:szCs w:val="28"/>
              </w:rPr>
              <w:t>时效指标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方正仿宋简体" w:cs="Times New Roman"/>
                <w:color w:val="000000"/>
                <w:kern w:val="0"/>
                <w:sz w:val="28"/>
                <w:szCs w:val="28"/>
              </w:rPr>
            </w:pPr>
            <w:r>
              <w:rPr>
                <w:rFonts w:hint="eastAsia" w:eastAsia="方正仿宋简体" w:cs="Times New Roman"/>
                <w:color w:val="000000"/>
                <w:kern w:val="0"/>
                <w:sz w:val="28"/>
                <w:szCs w:val="28"/>
              </w:rPr>
              <w:t>工作完成时限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223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方正仿宋简体" w:cs="Times New Roman"/>
                <w:color w:val="000000"/>
                <w:kern w:val="0"/>
                <w:sz w:val="28"/>
                <w:szCs w:val="28"/>
              </w:rPr>
            </w:pPr>
            <w:r>
              <w:rPr>
                <w:rFonts w:hint="eastAsia" w:eastAsia="方正仿宋简体" w:cs="Times New Roman"/>
                <w:color w:val="000000"/>
                <w:kern w:val="0"/>
                <w:sz w:val="28"/>
                <w:szCs w:val="28"/>
              </w:rPr>
              <w:t>项目完成指标</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方正仿宋简体" w:cs="Times New Roman"/>
                <w:color w:val="000000"/>
                <w:kern w:val="0"/>
                <w:sz w:val="28"/>
                <w:szCs w:val="28"/>
              </w:rPr>
            </w:pPr>
            <w:r>
              <w:rPr>
                <w:rFonts w:hint="eastAsia" w:eastAsia="方正仿宋简体" w:cs="Times New Roman"/>
                <w:color w:val="000000"/>
                <w:kern w:val="0"/>
                <w:sz w:val="28"/>
                <w:szCs w:val="28"/>
              </w:rPr>
              <w:t>可持续影响</w:t>
            </w:r>
            <w:r>
              <w:rPr>
                <w:rFonts w:eastAsia="方正仿宋简体" w:cs="Times New Roman"/>
                <w:color w:val="000000"/>
                <w:kern w:val="0"/>
                <w:sz w:val="28"/>
                <w:szCs w:val="28"/>
              </w:rPr>
              <w:t xml:space="preserve">  </w:t>
            </w:r>
            <w:r>
              <w:rPr>
                <w:rFonts w:hint="eastAsia" w:eastAsia="方正仿宋简体" w:cs="Times New Roman"/>
                <w:color w:val="000000"/>
                <w:kern w:val="0"/>
                <w:sz w:val="28"/>
                <w:szCs w:val="28"/>
              </w:rPr>
              <w:t>指标</w:t>
            </w:r>
          </w:p>
        </w:tc>
        <w:tc>
          <w:tcPr>
            <w:tcW w:w="453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eastAsia="方正仿宋简体" w:cs="Times New Roman"/>
                <w:color w:val="000000"/>
                <w:kern w:val="0"/>
                <w:sz w:val="28"/>
                <w:szCs w:val="28"/>
              </w:rPr>
            </w:pPr>
            <w:r>
              <w:rPr>
                <w:rFonts w:hint="eastAsia" w:eastAsia="方正仿宋简体" w:cs="Times New Roman"/>
                <w:color w:val="000000"/>
                <w:kern w:val="0"/>
                <w:sz w:val="28"/>
                <w:szCs w:val="28"/>
              </w:rPr>
              <w:t>影响年限</w:t>
            </w:r>
          </w:p>
        </w:tc>
      </w:tr>
    </w:tbl>
    <w:p>
      <w:pPr>
        <w:widowControl/>
        <w:spacing w:line="240" w:lineRule="atLeast"/>
        <w:jc w:val="left"/>
        <w:rPr>
          <w:rFonts w:ascii="黑体" w:hAnsi="黑体" w:eastAsia="黑体" w:cs="Times New Roman"/>
          <w:color w:val="000000"/>
          <w:sz w:val="32"/>
          <w:szCs w:val="32"/>
        </w:rPr>
      </w:pPr>
      <w:r>
        <w:rPr>
          <w:rFonts w:eastAsia="方正仿宋简体" w:cs="Times New Roman"/>
          <w:color w:val="000000"/>
          <w:sz w:val="32"/>
          <w:szCs w:val="32"/>
        </w:rPr>
        <w:t xml:space="preserve">    </w:t>
      </w:r>
      <w:r>
        <w:rPr>
          <w:rFonts w:hint="eastAsia" w:ascii="黑体" w:hAnsi="黑体" w:eastAsia="黑体" w:cs="Times New Roman"/>
          <w:color w:val="000000"/>
          <w:sz w:val="32"/>
          <w:szCs w:val="32"/>
        </w:rPr>
        <w:t>二、评价工作开展情况</w:t>
      </w:r>
    </w:p>
    <w:p>
      <w:pPr>
        <w:overflowPunct w:val="0"/>
        <w:topLinePunct/>
        <w:adjustRightInd w:val="0"/>
        <w:snapToGrid w:val="0"/>
        <w:spacing w:line="580" w:lineRule="exact"/>
        <w:ind w:firstLine="640" w:firstLineChars="200"/>
        <w:rPr>
          <w:rFonts w:hint="eastAsia" w:eastAsia="方正仿宋简体" w:cs="Times New Roman"/>
          <w:color w:val="000000"/>
          <w:sz w:val="32"/>
          <w:szCs w:val="32"/>
        </w:rPr>
      </w:pPr>
      <w:r>
        <w:rPr>
          <w:rFonts w:hint="eastAsia" w:eastAsia="方正仿宋简体" w:cs="Times New Roman"/>
          <w:color w:val="000000"/>
          <w:sz w:val="32"/>
          <w:szCs w:val="32"/>
        </w:rPr>
        <w:t>按照《财政厅关于开展</w:t>
      </w:r>
      <w:r>
        <w:rPr>
          <w:rFonts w:eastAsia="方正仿宋简体" w:cs="Times New Roman"/>
          <w:color w:val="000000"/>
          <w:sz w:val="32"/>
          <w:szCs w:val="32"/>
        </w:rPr>
        <w:t>2021</w:t>
      </w:r>
      <w:r>
        <w:rPr>
          <w:rFonts w:hint="eastAsia" w:eastAsia="方正仿宋简体" w:cs="Times New Roman"/>
          <w:color w:val="000000"/>
          <w:sz w:val="32"/>
          <w:szCs w:val="32"/>
        </w:rPr>
        <w:t>年部门、政策和项目支出绩效评价工作的通知》（川财绩〔</w:t>
      </w:r>
      <w:r>
        <w:rPr>
          <w:rFonts w:eastAsia="方正仿宋简体" w:cs="Times New Roman"/>
          <w:color w:val="000000"/>
          <w:sz w:val="32"/>
          <w:szCs w:val="32"/>
        </w:rPr>
        <w:t>2021</w:t>
      </w:r>
      <w:r>
        <w:rPr>
          <w:rFonts w:hint="eastAsia" w:eastAsia="方正仿宋简体" w:cs="Times New Roman"/>
          <w:color w:val="000000"/>
          <w:sz w:val="32"/>
          <w:szCs w:val="32"/>
        </w:rPr>
        <w:t>〕</w:t>
      </w:r>
      <w:r>
        <w:rPr>
          <w:rFonts w:eastAsia="方正仿宋简体" w:cs="Times New Roman"/>
          <w:color w:val="000000"/>
          <w:sz w:val="32"/>
          <w:szCs w:val="32"/>
        </w:rPr>
        <w:t>6</w:t>
      </w:r>
      <w:r>
        <w:rPr>
          <w:rFonts w:hint="eastAsia" w:eastAsia="方正仿宋简体" w:cs="Times New Roman"/>
          <w:color w:val="000000"/>
          <w:sz w:val="32"/>
          <w:szCs w:val="32"/>
        </w:rPr>
        <w:t>号）要求，对</w:t>
      </w:r>
      <w:r>
        <w:rPr>
          <w:rFonts w:eastAsia="方正仿宋简体" w:cs="Times New Roman"/>
          <w:color w:val="000000"/>
          <w:sz w:val="32"/>
          <w:szCs w:val="32"/>
        </w:rPr>
        <w:t>2020</w:t>
      </w:r>
      <w:r>
        <w:rPr>
          <w:rFonts w:hint="eastAsia" w:eastAsia="方正仿宋简体" w:cs="Times New Roman"/>
          <w:color w:val="000000"/>
          <w:sz w:val="32"/>
          <w:szCs w:val="32"/>
        </w:rPr>
        <w:t>年单位预算项目执行情况进行综合评价。我们按照“谁支出、谁自评”的原则，结合项目实际情况，根据设置的绩效评价指标、评价标准和方法，从项目的设立、预算编制和资金分配的合理性、预算执行率、资金的管理使用等方面对本项目开展了绩效评价。</w:t>
      </w:r>
    </w:p>
    <w:p>
      <w:pPr>
        <w:spacing w:line="600" w:lineRule="exact"/>
        <w:rPr>
          <w:rFonts w:ascii="黑体" w:hAnsi="黑体" w:eastAsia="黑体" w:cs="Times New Roman"/>
          <w:color w:val="000000"/>
          <w:sz w:val="32"/>
          <w:szCs w:val="32"/>
        </w:rPr>
      </w:pPr>
      <w:r>
        <w:rPr>
          <w:rFonts w:hint="eastAsia" w:ascii="黑体" w:hAnsi="黑体" w:eastAsia="黑体" w:cs="Times New Roman"/>
          <w:color w:val="000000"/>
          <w:sz w:val="32"/>
          <w:szCs w:val="32"/>
        </w:rPr>
        <w:t xml:space="preserve">    三、综合评价结论</w:t>
      </w:r>
    </w:p>
    <w:p>
      <w:pPr>
        <w:widowControl/>
        <w:spacing w:line="240" w:lineRule="atLeast"/>
        <w:jc w:val="left"/>
        <w:rPr>
          <w:rFonts w:hint="eastAsia" w:eastAsia="方正仿宋简体" w:cs="Times New Roman"/>
          <w:color w:val="FF0000"/>
          <w:sz w:val="32"/>
          <w:szCs w:val="32"/>
        </w:rPr>
      </w:pPr>
      <w:r>
        <w:rPr>
          <w:rFonts w:eastAsia="方正仿宋简体" w:cs="Times New Roman"/>
          <w:color w:val="000000"/>
          <w:sz w:val="32"/>
          <w:szCs w:val="32"/>
        </w:rPr>
        <w:t xml:space="preserve">    </w:t>
      </w:r>
      <w:r>
        <w:rPr>
          <w:rFonts w:hint="eastAsia" w:eastAsia="方正仿宋简体" w:cs="Times New Roman"/>
          <w:color w:val="000000"/>
          <w:sz w:val="32"/>
          <w:szCs w:val="32"/>
        </w:rPr>
        <w:t>经自评，“事业单位登记管理专项经费”预算编制较为合理，绩效目标与完成目标相符，按照绩效指标和计分标准，该项目支出绩效评价得分为</w:t>
      </w:r>
      <w:r>
        <w:rPr>
          <w:rFonts w:eastAsia="方正仿宋简体" w:cs="Times New Roman"/>
          <w:color w:val="000000"/>
          <w:sz w:val="32"/>
          <w:szCs w:val="32"/>
        </w:rPr>
        <w:t>99.04</w:t>
      </w:r>
      <w:r>
        <w:rPr>
          <w:rFonts w:hint="eastAsia" w:eastAsia="方正仿宋简体" w:cs="Times New Roman"/>
          <w:color w:val="000000"/>
          <w:sz w:val="32"/>
          <w:szCs w:val="32"/>
        </w:rPr>
        <w:t>分。</w:t>
      </w:r>
    </w:p>
    <w:p>
      <w:pPr>
        <w:spacing w:line="600" w:lineRule="exact"/>
        <w:rPr>
          <w:rFonts w:ascii="黑体" w:hAnsi="黑体" w:eastAsia="黑体" w:cs="Times New Roman"/>
          <w:color w:val="000000"/>
          <w:sz w:val="32"/>
          <w:szCs w:val="32"/>
        </w:rPr>
      </w:pPr>
      <w:r>
        <w:rPr>
          <w:rFonts w:eastAsia="方正仿宋简体" w:cs="Times New Roman"/>
          <w:color w:val="000000"/>
          <w:sz w:val="32"/>
          <w:szCs w:val="32"/>
        </w:rPr>
        <w:t xml:space="preserve">    </w:t>
      </w:r>
      <w:r>
        <w:rPr>
          <w:rFonts w:hint="eastAsia" w:ascii="黑体" w:hAnsi="黑体" w:eastAsia="黑体" w:cs="Times New Roman"/>
          <w:color w:val="000000"/>
          <w:sz w:val="32"/>
          <w:szCs w:val="32"/>
        </w:rPr>
        <w:t>四、绩效评价分析</w:t>
      </w:r>
    </w:p>
    <w:p>
      <w:pPr>
        <w:spacing w:line="600" w:lineRule="exact"/>
        <w:rPr>
          <w:rFonts w:hint="eastAsia" w:eastAsia="方正仿宋简体" w:cs="Times New Roman"/>
          <w:color w:val="000000"/>
          <w:sz w:val="32"/>
          <w:szCs w:val="32"/>
        </w:rPr>
      </w:pPr>
      <w:r>
        <w:rPr>
          <w:rFonts w:eastAsia="方正仿宋简体" w:cs="Times New Roman"/>
          <w:color w:val="000000"/>
          <w:sz w:val="32"/>
          <w:szCs w:val="32"/>
        </w:rPr>
        <w:t xml:space="preserve">   </w:t>
      </w:r>
      <w:r>
        <w:rPr>
          <w:rFonts w:hint="eastAsia" w:ascii="楷体" w:hAnsi="楷体" w:eastAsia="楷体" w:cs="Times New Roman"/>
          <w:color w:val="000000"/>
          <w:sz w:val="32"/>
          <w:szCs w:val="32"/>
        </w:rPr>
        <w:t xml:space="preserve"> （一）项目决策情况。</w:t>
      </w:r>
      <w:r>
        <w:rPr>
          <w:rFonts w:hint="eastAsia" w:eastAsia="方正仿宋简体" w:cs="Times New Roman"/>
          <w:color w:val="000000"/>
          <w:sz w:val="32"/>
          <w:szCs w:val="32"/>
        </w:rPr>
        <w:t>本项目为开展事业单位登记管理相关业务工作所需租用车辆和完成后勤保障服务的运转类支出，由省事登局申请立项，经室务会审定后纳入部门年度预算，由财政厅批复的专项经费。</w:t>
      </w:r>
    </w:p>
    <w:p>
      <w:pPr>
        <w:spacing w:line="600" w:lineRule="exact"/>
        <w:rPr>
          <w:rFonts w:eastAsia="方正仿宋简体" w:cs="Times New Roman"/>
          <w:color w:val="000000"/>
          <w:sz w:val="32"/>
          <w:szCs w:val="32"/>
        </w:rPr>
      </w:pPr>
      <w:r>
        <w:rPr>
          <w:rFonts w:eastAsia="方正仿宋简体" w:cs="Times New Roman"/>
          <w:color w:val="000000"/>
          <w:sz w:val="32"/>
          <w:szCs w:val="32"/>
        </w:rPr>
        <w:t xml:space="preserve">    </w:t>
      </w:r>
      <w:r>
        <w:rPr>
          <w:rFonts w:hint="eastAsia" w:ascii="楷体" w:hAnsi="楷体" w:eastAsia="楷体" w:cs="Times New Roman"/>
          <w:color w:val="000000"/>
          <w:sz w:val="32"/>
          <w:szCs w:val="32"/>
        </w:rPr>
        <w:t>（二）项目管理情况。</w:t>
      </w:r>
      <w:r>
        <w:rPr>
          <w:rFonts w:hint="eastAsia" w:eastAsia="方正仿宋简体" w:cs="Times New Roman"/>
          <w:color w:val="000000"/>
          <w:sz w:val="32"/>
          <w:szCs w:val="32"/>
        </w:rPr>
        <w:t>本项目由省事登局按照年度计划负责实施，并积极做好项目经费支出的事前、事中和事后管理，全年预算执行较好，执行率达到</w:t>
      </w:r>
      <w:r>
        <w:rPr>
          <w:rFonts w:eastAsia="方正仿宋简体" w:cs="Times New Roman"/>
          <w:color w:val="000000"/>
          <w:sz w:val="32"/>
          <w:szCs w:val="32"/>
        </w:rPr>
        <w:t>93.65%</w:t>
      </w:r>
      <w:r>
        <w:rPr>
          <w:rFonts w:hint="eastAsia" w:eastAsia="方正仿宋简体" w:cs="Times New Roman"/>
          <w:color w:val="000000"/>
          <w:sz w:val="32"/>
          <w:szCs w:val="32"/>
        </w:rPr>
        <w:t>。</w:t>
      </w:r>
    </w:p>
    <w:p>
      <w:pPr>
        <w:spacing w:line="600" w:lineRule="exact"/>
        <w:jc w:val="left"/>
        <w:rPr>
          <w:rFonts w:eastAsia="方正仿宋简体" w:cs="Times New Roman"/>
          <w:color w:val="000000"/>
          <w:sz w:val="32"/>
          <w:szCs w:val="32"/>
        </w:rPr>
      </w:pPr>
      <w:r>
        <w:rPr>
          <w:rFonts w:eastAsia="方正仿宋简体" w:cs="Times New Roman"/>
          <w:color w:val="000000"/>
          <w:sz w:val="32"/>
          <w:szCs w:val="32"/>
        </w:rPr>
        <w:t xml:space="preserve">    </w:t>
      </w:r>
      <w:r>
        <w:rPr>
          <w:rFonts w:hint="eastAsia" w:ascii="楷体" w:hAnsi="楷体" w:eastAsia="楷体" w:cs="Times New Roman"/>
          <w:color w:val="000000"/>
          <w:sz w:val="32"/>
          <w:szCs w:val="32"/>
        </w:rPr>
        <w:t>（三）项目产出情况。</w:t>
      </w:r>
      <w:r>
        <w:rPr>
          <w:rFonts w:hint="eastAsia" w:eastAsia="方正仿宋简体" w:cs="Times New Roman"/>
          <w:color w:val="000000"/>
          <w:sz w:val="32"/>
          <w:szCs w:val="32"/>
        </w:rPr>
        <w:t>通过本项目经费的保障实施，顺利完成预期目标：</w:t>
      </w:r>
      <w:r>
        <w:rPr>
          <w:rFonts w:eastAsia="方正仿宋简体" w:cs="Times New Roman"/>
          <w:color w:val="000000"/>
          <w:sz w:val="32"/>
          <w:szCs w:val="32"/>
        </w:rPr>
        <w:t>1.</w:t>
      </w:r>
      <w:r>
        <w:rPr>
          <w:rFonts w:hint="eastAsia" w:eastAsia="方正仿宋简体" w:cs="Times New Roman"/>
          <w:color w:val="000000"/>
          <w:sz w:val="32"/>
          <w:szCs w:val="32"/>
        </w:rPr>
        <w:t>事业单位法人年度报告公示率达到</w:t>
      </w:r>
      <w:r>
        <w:rPr>
          <w:rFonts w:eastAsia="方正仿宋简体" w:cs="Times New Roman"/>
          <w:color w:val="000000"/>
          <w:sz w:val="32"/>
          <w:szCs w:val="32"/>
        </w:rPr>
        <w:t>100%</w:t>
      </w:r>
      <w:r>
        <w:rPr>
          <w:rFonts w:hint="eastAsia" w:eastAsia="方正仿宋简体" w:cs="Times New Roman"/>
          <w:color w:val="000000"/>
          <w:sz w:val="32"/>
          <w:szCs w:val="32"/>
        </w:rPr>
        <w:t>；</w:t>
      </w:r>
      <w:r>
        <w:rPr>
          <w:rFonts w:eastAsia="方正仿宋简体" w:cs="Times New Roman"/>
          <w:color w:val="000000"/>
          <w:sz w:val="32"/>
          <w:szCs w:val="32"/>
        </w:rPr>
        <w:t xml:space="preserve">2. </w:t>
      </w:r>
      <w:r>
        <w:rPr>
          <w:rFonts w:hint="eastAsia" w:eastAsia="方正仿宋简体" w:cs="Times New Roman"/>
          <w:color w:val="000000"/>
          <w:sz w:val="32"/>
          <w:szCs w:val="32"/>
        </w:rPr>
        <w:t>省本级“双随机、一公开”中抽查的事业单位，问题整改完成率达到</w:t>
      </w:r>
      <w:r>
        <w:rPr>
          <w:rFonts w:eastAsia="方正仿宋简体" w:cs="Times New Roman"/>
          <w:color w:val="000000"/>
          <w:sz w:val="32"/>
          <w:szCs w:val="32"/>
        </w:rPr>
        <w:t>100%</w:t>
      </w:r>
      <w:r>
        <w:rPr>
          <w:rFonts w:hint="eastAsia" w:eastAsia="方正仿宋简体" w:cs="Times New Roman"/>
          <w:color w:val="000000"/>
          <w:sz w:val="32"/>
          <w:szCs w:val="32"/>
        </w:rPr>
        <w:t>。</w:t>
      </w:r>
    </w:p>
    <w:p>
      <w:pPr>
        <w:spacing w:line="600" w:lineRule="exact"/>
        <w:rPr>
          <w:rFonts w:ascii="黑体" w:hAnsi="黑体" w:eastAsia="黑体" w:cs="Times New Roman"/>
          <w:color w:val="000000"/>
          <w:sz w:val="32"/>
          <w:szCs w:val="32"/>
        </w:rPr>
      </w:pPr>
      <w:r>
        <w:rPr>
          <w:rFonts w:hint="eastAsia" w:ascii="黑体" w:hAnsi="黑体" w:eastAsia="黑体" w:cs="Times New Roman"/>
          <w:color w:val="000000"/>
          <w:sz w:val="32"/>
          <w:szCs w:val="32"/>
        </w:rPr>
        <w:t xml:space="preserve">    五、存在主要问题</w:t>
      </w:r>
    </w:p>
    <w:p>
      <w:pPr>
        <w:spacing w:line="600" w:lineRule="exact"/>
        <w:rPr>
          <w:rFonts w:hint="eastAsia" w:eastAsia="方正仿宋简体" w:cs="Times New Roman"/>
          <w:color w:val="000000"/>
          <w:sz w:val="32"/>
          <w:szCs w:val="32"/>
        </w:rPr>
      </w:pPr>
      <w:r>
        <w:rPr>
          <w:rFonts w:eastAsia="方正仿宋简体" w:cs="Times New Roman"/>
          <w:color w:val="000000"/>
          <w:sz w:val="32"/>
          <w:szCs w:val="32"/>
        </w:rPr>
        <w:t xml:space="preserve">    </w:t>
      </w:r>
      <w:r>
        <w:rPr>
          <w:rFonts w:hint="eastAsia" w:eastAsia="方正仿宋简体" w:cs="Times New Roman"/>
          <w:color w:val="000000"/>
          <w:sz w:val="32"/>
          <w:szCs w:val="32"/>
        </w:rPr>
        <w:t>预算编制还不够精准，预算执行还需加强。</w:t>
      </w:r>
    </w:p>
    <w:p>
      <w:pPr>
        <w:spacing w:line="600" w:lineRule="exact"/>
        <w:rPr>
          <w:rFonts w:ascii="黑体" w:hAnsi="黑体" w:eastAsia="黑体" w:cs="Times New Roman"/>
          <w:color w:val="000000"/>
          <w:sz w:val="32"/>
          <w:szCs w:val="32"/>
        </w:rPr>
      </w:pPr>
      <w:r>
        <w:rPr>
          <w:rFonts w:hint="eastAsia" w:ascii="黑体" w:hAnsi="黑体" w:eastAsia="黑体" w:cs="Times New Roman"/>
          <w:color w:val="000000"/>
          <w:sz w:val="32"/>
          <w:szCs w:val="32"/>
        </w:rPr>
        <w:t xml:space="preserve">    六、相关措施建议</w:t>
      </w:r>
    </w:p>
    <w:p>
      <w:pPr>
        <w:spacing w:line="600" w:lineRule="exact"/>
        <w:rPr>
          <w:rFonts w:hint="eastAsia" w:eastAsia="方正仿宋简体" w:cs="Times New Roman"/>
          <w:color w:val="000000"/>
          <w:sz w:val="32"/>
          <w:szCs w:val="32"/>
        </w:rPr>
      </w:pPr>
      <w:r>
        <w:rPr>
          <w:rFonts w:eastAsia="方正仿宋简体" w:cs="Times New Roman"/>
          <w:color w:val="000000"/>
          <w:sz w:val="32"/>
          <w:szCs w:val="32"/>
        </w:rPr>
        <w:t xml:space="preserve">    </w:t>
      </w:r>
      <w:r>
        <w:rPr>
          <w:rFonts w:hint="eastAsia" w:eastAsia="方正仿宋简体" w:cs="Times New Roman"/>
          <w:color w:val="000000"/>
          <w:sz w:val="32"/>
          <w:szCs w:val="32"/>
        </w:rPr>
        <w:t>加强项目支出预算编制，加快预算执行进度，充分发挥财政资金使用效益。</w:t>
      </w:r>
    </w:p>
    <w:p>
      <w:pPr>
        <w:pStyle w:val="2"/>
        <w:spacing w:before="173"/>
        <w:rPr>
          <w:rFonts w:eastAsia="宋体" w:cs="Calibri"/>
          <w:sz w:val="21"/>
          <w:szCs w:val="21"/>
        </w:rPr>
      </w:pPr>
    </w:p>
    <w:p>
      <w:pPr>
        <w:tabs>
          <w:tab w:val="left" w:pos="3885"/>
        </w:tabs>
        <w:overflowPunct w:val="0"/>
        <w:topLinePunct/>
        <w:snapToGrid w:val="0"/>
        <w:spacing w:line="580" w:lineRule="exact"/>
        <w:ind w:firstLine="420" w:firstLineChars="200"/>
        <w:rPr>
          <w:rFonts w:eastAsia="方正仿宋简体" w:cs="Times New Roman"/>
          <w:color w:val="000000"/>
          <w:sz w:val="32"/>
          <w:szCs w:val="32"/>
        </w:rPr>
      </w:pPr>
      <w:r>
        <w:t xml:space="preserve">    </w:t>
      </w:r>
      <w:r>
        <w:rPr>
          <w:rFonts w:hint="eastAsia" w:eastAsia="方正仿宋简体"/>
          <w:color w:val="000000"/>
          <w:sz w:val="32"/>
          <w:szCs w:val="32"/>
        </w:rPr>
        <w:t>附件：部门预算项目支出绩效评分表</w:t>
      </w:r>
    </w:p>
    <w:tbl>
      <w:tblPr>
        <w:tblStyle w:val="12"/>
        <w:tblpPr w:leftFromText="180" w:rightFromText="180" w:vertAnchor="text" w:tblpY="616"/>
        <w:tblW w:w="9983" w:type="dxa"/>
        <w:tblInd w:w="0" w:type="dxa"/>
        <w:tblLayout w:type="autofit"/>
        <w:tblCellMar>
          <w:top w:w="0" w:type="dxa"/>
          <w:left w:w="108" w:type="dxa"/>
          <w:bottom w:w="0" w:type="dxa"/>
          <w:right w:w="108" w:type="dxa"/>
        </w:tblCellMar>
      </w:tblPr>
      <w:tblGrid>
        <w:gridCol w:w="895"/>
        <w:gridCol w:w="951"/>
        <w:gridCol w:w="992"/>
        <w:gridCol w:w="709"/>
        <w:gridCol w:w="1559"/>
        <w:gridCol w:w="2855"/>
        <w:gridCol w:w="966"/>
        <w:gridCol w:w="1056"/>
      </w:tblGrid>
      <w:tr>
        <w:tblPrEx>
          <w:tblCellMar>
            <w:top w:w="0" w:type="dxa"/>
            <w:left w:w="108" w:type="dxa"/>
            <w:bottom w:w="0" w:type="dxa"/>
            <w:right w:w="108" w:type="dxa"/>
          </w:tblCellMar>
        </w:tblPrEx>
        <w:trPr>
          <w:trHeight w:val="18" w:hRule="atLeast"/>
        </w:trPr>
        <w:tc>
          <w:tcPr>
            <w:tcW w:w="2838" w:type="dxa"/>
            <w:gridSpan w:val="3"/>
            <w:vAlign w:val="center"/>
          </w:tcPr>
          <w:p>
            <w:pPr>
              <w:widowControl/>
              <w:jc w:val="left"/>
              <w:rPr>
                <w:rFonts w:hint="eastAsia" w:ascii="黑体" w:hAnsi="黑体" w:eastAsia="黑体" w:cs="宋体"/>
                <w:kern w:val="0"/>
                <w:sz w:val="24"/>
              </w:rPr>
            </w:pPr>
          </w:p>
          <w:p>
            <w:pPr>
              <w:pStyle w:val="2"/>
              <w:spacing w:before="173"/>
              <w:rPr>
                <w:rFonts w:hint="eastAsia"/>
              </w:rPr>
            </w:pPr>
          </w:p>
          <w:p>
            <w:pPr>
              <w:pStyle w:val="2"/>
              <w:spacing w:before="173"/>
              <w:rPr>
                <w:rFonts w:hint="eastAsia"/>
              </w:rPr>
            </w:pPr>
          </w:p>
          <w:p>
            <w:pPr>
              <w:pStyle w:val="2"/>
              <w:spacing w:before="173"/>
              <w:rPr>
                <w:rFonts w:hint="eastAsia"/>
              </w:rPr>
            </w:pPr>
          </w:p>
          <w:p>
            <w:pPr>
              <w:widowControl/>
              <w:jc w:val="left"/>
              <w:rPr>
                <w:rFonts w:hint="eastAsia" w:ascii="黑体" w:hAnsi="黑体" w:eastAsia="黑体" w:cs="宋体"/>
                <w:kern w:val="0"/>
                <w:sz w:val="24"/>
              </w:rPr>
            </w:pPr>
          </w:p>
          <w:p>
            <w:pPr>
              <w:widowControl/>
              <w:jc w:val="left"/>
              <w:rPr>
                <w:rFonts w:ascii="黑体" w:hAnsi="黑体" w:eastAsia="黑体" w:cs="宋体"/>
                <w:kern w:val="0"/>
                <w:sz w:val="24"/>
              </w:rPr>
            </w:pPr>
            <w:r>
              <w:rPr>
                <w:rFonts w:hint="eastAsia" w:ascii="黑体" w:hAnsi="黑体" w:eastAsia="黑体" w:cs="宋体"/>
                <w:kern w:val="0"/>
                <w:sz w:val="24"/>
              </w:rPr>
              <w:t>附件</w:t>
            </w:r>
          </w:p>
        </w:tc>
        <w:tc>
          <w:tcPr>
            <w:tcW w:w="709" w:type="dxa"/>
            <w:vAlign w:val="center"/>
          </w:tcPr>
          <w:p>
            <w:pPr>
              <w:widowControl/>
              <w:jc w:val="center"/>
              <w:rPr>
                <w:rFonts w:ascii="宋体" w:hAnsi="宋体" w:cs="宋体"/>
                <w:kern w:val="0"/>
                <w:sz w:val="24"/>
              </w:rPr>
            </w:pPr>
          </w:p>
        </w:tc>
        <w:tc>
          <w:tcPr>
            <w:tcW w:w="1559" w:type="dxa"/>
            <w:vAlign w:val="center"/>
          </w:tcPr>
          <w:p>
            <w:pPr>
              <w:widowControl/>
              <w:jc w:val="left"/>
              <w:rPr>
                <w:rFonts w:ascii="宋体" w:hAnsi="宋体" w:cs="宋体"/>
                <w:kern w:val="0"/>
                <w:sz w:val="24"/>
              </w:rPr>
            </w:pPr>
          </w:p>
        </w:tc>
        <w:tc>
          <w:tcPr>
            <w:tcW w:w="2855" w:type="dxa"/>
            <w:vAlign w:val="center"/>
          </w:tcPr>
          <w:p>
            <w:pPr>
              <w:widowControl/>
              <w:jc w:val="left"/>
              <w:rPr>
                <w:rFonts w:ascii="宋体" w:hAnsi="宋体" w:cs="宋体"/>
                <w:kern w:val="0"/>
                <w:sz w:val="16"/>
                <w:szCs w:val="16"/>
              </w:rPr>
            </w:pPr>
          </w:p>
        </w:tc>
        <w:tc>
          <w:tcPr>
            <w:tcW w:w="966" w:type="dxa"/>
            <w:vAlign w:val="center"/>
          </w:tcPr>
          <w:p>
            <w:pPr>
              <w:widowControl/>
              <w:jc w:val="left"/>
              <w:rPr>
                <w:rFonts w:ascii="宋体" w:hAnsi="宋体" w:cs="宋体"/>
                <w:kern w:val="0"/>
                <w:sz w:val="24"/>
              </w:rPr>
            </w:pPr>
          </w:p>
        </w:tc>
        <w:tc>
          <w:tcPr>
            <w:tcW w:w="1056" w:type="dxa"/>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 w:hRule="atLeast"/>
        </w:trPr>
        <w:tc>
          <w:tcPr>
            <w:tcW w:w="9983" w:type="dxa"/>
            <w:gridSpan w:val="8"/>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单位预算项目支出绩效评分表</w:t>
            </w:r>
          </w:p>
        </w:tc>
      </w:tr>
      <w:tr>
        <w:tblPrEx>
          <w:tblCellMar>
            <w:top w:w="0" w:type="dxa"/>
            <w:left w:w="108" w:type="dxa"/>
            <w:bottom w:w="0" w:type="dxa"/>
            <w:right w:w="108" w:type="dxa"/>
          </w:tblCellMar>
        </w:tblPrEx>
        <w:trPr>
          <w:trHeight w:val="26" w:hRule="atLeast"/>
        </w:trPr>
        <w:tc>
          <w:tcPr>
            <w:tcW w:w="8927" w:type="dxa"/>
            <w:gridSpan w:val="7"/>
            <w:tcBorders>
              <w:top w:val="nil"/>
              <w:left w:val="nil"/>
              <w:bottom w:val="single" w:color="auto" w:sz="4" w:space="0"/>
              <w:right w:val="nil"/>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单位：四川省事业单位登记管理局</w:t>
            </w:r>
          </w:p>
        </w:tc>
        <w:tc>
          <w:tcPr>
            <w:tcW w:w="1056" w:type="dxa"/>
            <w:vAlign w:val="center"/>
          </w:tcPr>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trHeight w:val="21" w:hRule="atLeast"/>
        </w:trPr>
        <w:tc>
          <w:tcPr>
            <w:tcW w:w="283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绩效指标</w:t>
            </w:r>
          </w:p>
        </w:tc>
        <w:tc>
          <w:tcPr>
            <w:tcW w:w="7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指标分值</w:t>
            </w:r>
          </w:p>
        </w:tc>
        <w:tc>
          <w:tcPr>
            <w:tcW w:w="155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指标解释</w:t>
            </w:r>
          </w:p>
        </w:tc>
        <w:tc>
          <w:tcPr>
            <w:tcW w:w="285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计分标准</w:t>
            </w:r>
          </w:p>
        </w:tc>
        <w:tc>
          <w:tcPr>
            <w:tcW w:w="96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自评     得分</w:t>
            </w:r>
          </w:p>
        </w:tc>
        <w:tc>
          <w:tcPr>
            <w:tcW w:w="105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26" w:hRule="atLeast"/>
        </w:trPr>
        <w:tc>
          <w:tcPr>
            <w:tcW w:w="8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   指标</w:t>
            </w:r>
          </w:p>
        </w:tc>
        <w:tc>
          <w:tcPr>
            <w:tcW w:w="9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    指标</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     指标</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626" w:hRule="atLeast"/>
        </w:trPr>
        <w:tc>
          <w:tcPr>
            <w:tcW w:w="89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部门预算管理     （70分）</w:t>
            </w:r>
          </w:p>
        </w:tc>
        <w:tc>
          <w:tcPr>
            <w:tcW w:w="951"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预算    编制   （45分）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项目设立</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559"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项目设立决策程序是否合规。</w:t>
            </w:r>
          </w:p>
        </w:tc>
        <w:tc>
          <w:tcPr>
            <w:tcW w:w="285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决策程序规范的，得15分，否则酌情扣分。</w:t>
            </w:r>
          </w:p>
        </w:tc>
        <w:tc>
          <w:tcPr>
            <w:tcW w:w="9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05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　</w:t>
            </w:r>
          </w:p>
        </w:tc>
      </w:tr>
      <w:tr>
        <w:tblPrEx>
          <w:tblCellMar>
            <w:top w:w="0" w:type="dxa"/>
            <w:left w:w="108" w:type="dxa"/>
            <w:bottom w:w="0" w:type="dxa"/>
            <w:right w:w="108" w:type="dxa"/>
          </w:tblCellMar>
        </w:tblPrEx>
        <w:trPr>
          <w:trHeight w:val="986"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目标制定</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59"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绩效目标是否要素完整、细化量化。</w:t>
            </w:r>
          </w:p>
        </w:tc>
        <w:tc>
          <w:tcPr>
            <w:tcW w:w="285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xml:space="preserve">1.绩效目标编制要素完整的，得5分，否则酌情扣分。2.绩效指标细化量化的，得5分，否则酌情扣分。                                                                    </w:t>
            </w:r>
          </w:p>
        </w:tc>
        <w:tc>
          <w:tcPr>
            <w:tcW w:w="9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5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170"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目标实现</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59"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绩效目标实际实现程度与预期目标的偏离度。</w:t>
            </w:r>
          </w:p>
        </w:tc>
        <w:tc>
          <w:tcPr>
            <w:tcW w:w="285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评价项目实际完成情况与与预期绩效目标偏离度，未达到预期指标或超过预期指标30%以上的，均不计分。</w:t>
            </w:r>
          </w:p>
        </w:tc>
        <w:tc>
          <w:tcPr>
            <w:tcW w:w="9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5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07"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编制准确</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59"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年初预算编制是否科学准确。</w:t>
            </w:r>
          </w:p>
        </w:tc>
        <w:tc>
          <w:tcPr>
            <w:tcW w:w="285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指标得分=（1-（10×项目预算调剂金额/年初预算数））*指标分值。</w:t>
            </w:r>
          </w:p>
        </w:tc>
        <w:tc>
          <w:tcPr>
            <w:tcW w:w="9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5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6"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95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完成结果（25分）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预算完成</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559"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预算项目年终预算执行情况。</w:t>
            </w:r>
          </w:p>
        </w:tc>
        <w:tc>
          <w:tcPr>
            <w:tcW w:w="285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预算项目12月预算执行进度达到100%的，得15分，未达100%的，按照实际进度量化计算得分。</w:t>
            </w:r>
          </w:p>
        </w:tc>
        <w:tc>
          <w:tcPr>
            <w:tcW w:w="9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14.04</w:t>
            </w:r>
          </w:p>
        </w:tc>
        <w:tc>
          <w:tcPr>
            <w:tcW w:w="105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执行进度为93.65%，计算得分14.04分。</w:t>
            </w:r>
          </w:p>
        </w:tc>
      </w:tr>
      <w:tr>
        <w:tblPrEx>
          <w:tblCellMar>
            <w:top w:w="0" w:type="dxa"/>
            <w:left w:w="108" w:type="dxa"/>
            <w:bottom w:w="0" w:type="dxa"/>
            <w:right w:w="108" w:type="dxa"/>
          </w:tblCellMar>
        </w:tblPrEx>
        <w:trPr>
          <w:trHeight w:val="1157"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违规记录</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59"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根据审计监督、财政检查结果反映项目预算管理是否合规。</w:t>
            </w:r>
          </w:p>
        </w:tc>
        <w:tc>
          <w:tcPr>
            <w:tcW w:w="285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依据评价年度审计监督、财政检查结果，出现项目预算管理方面违纪违规问题的，每个问题扣0.5分，直至扣完。</w:t>
            </w:r>
          </w:p>
        </w:tc>
        <w:tc>
          <w:tcPr>
            <w:tcW w:w="9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5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91" w:hRule="atLeast"/>
        </w:trPr>
        <w:tc>
          <w:tcPr>
            <w:tcW w:w="89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绩效结果应用     （20分）</w:t>
            </w:r>
          </w:p>
        </w:tc>
        <w:tc>
          <w:tcPr>
            <w:tcW w:w="9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信息公开（10分)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自评公开</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59"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是否按要求将项目绩效自评情况等向社会公开。</w:t>
            </w:r>
          </w:p>
        </w:tc>
        <w:tc>
          <w:tcPr>
            <w:tcW w:w="285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按要求将相关绩效信息随同决算公开的，得10分，否则不得分。</w:t>
            </w:r>
          </w:p>
        </w:tc>
        <w:tc>
          <w:tcPr>
            <w:tcW w:w="9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5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58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整改   反馈  （10分）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结果整改</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59"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根据绩效管理结果整改问题、完善政策、改进管理的情况。</w:t>
            </w:r>
          </w:p>
        </w:tc>
        <w:tc>
          <w:tcPr>
            <w:tcW w:w="285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针对项目绩效管理过程中（包括绩效目标核查、绩效监控核查和重点绩效评价）提出的问题进行整改，将绩效管理结果应用于完善政策、改进管理、预算挂钩等的，得10分。否则，酌情扣分。</w:t>
            </w:r>
          </w:p>
        </w:tc>
        <w:tc>
          <w:tcPr>
            <w:tcW w:w="9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5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412" w:hRule="atLeast"/>
        </w:trPr>
        <w:tc>
          <w:tcPr>
            <w:tcW w:w="8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自评    质量   （10分）</w:t>
            </w:r>
          </w:p>
        </w:tc>
        <w:tc>
          <w:tcPr>
            <w:tcW w:w="9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自评   质量  （10分）</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自评准确</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59"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项目支出自评准确率。</w:t>
            </w:r>
          </w:p>
        </w:tc>
        <w:tc>
          <w:tcPr>
            <w:tcW w:w="285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项目支出自评得分与财政评价抽查得分差异在5%以内的，不扣分；在5%-10%之间的，扣4分，在10%-20%的，扣8分，在20%以上的，扣10分。</w:t>
            </w:r>
          </w:p>
        </w:tc>
        <w:tc>
          <w:tcPr>
            <w:tcW w:w="9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05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15" w:hRule="atLeast"/>
        </w:trPr>
        <w:tc>
          <w:tcPr>
            <w:tcW w:w="89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小计</w:t>
            </w:r>
          </w:p>
        </w:tc>
        <w:tc>
          <w:tcPr>
            <w:tcW w:w="951"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5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28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96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99.04</w:t>
            </w:r>
          </w:p>
        </w:tc>
        <w:tc>
          <w:tcPr>
            <w:tcW w:w="1056"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r>
      <w:bookmarkEnd w:id="263"/>
    </w:tbl>
    <w:p>
      <w:pPr>
        <w:snapToGrid w:val="0"/>
        <w:spacing w:line="600" w:lineRule="exact"/>
        <w:ind w:firstLine="880" w:firstLineChars="200"/>
        <w:jc w:val="center"/>
        <w:rPr>
          <w:rStyle w:val="19"/>
          <w:rFonts w:hint="eastAsia" w:eastAsia="方正小标宋_GBK"/>
          <w:b w:val="0"/>
          <w:color w:val="000000"/>
        </w:rPr>
      </w:pPr>
      <w:bookmarkStart w:id="264" w:name="_Toc13935_WPSOffice_Level1"/>
      <w:bookmarkStart w:id="265" w:name="_Toc80805994"/>
      <w:bookmarkStart w:id="266" w:name="_Toc80806127"/>
      <w:bookmarkStart w:id="267" w:name="_Toc81232269"/>
      <w:r>
        <w:rPr>
          <w:rStyle w:val="19"/>
          <w:rFonts w:hint="eastAsia" w:eastAsia="方正小标宋_GBK"/>
          <w:b w:val="0"/>
          <w:color w:val="000000"/>
        </w:rPr>
        <w:t xml:space="preserve">第五部分 </w:t>
      </w:r>
      <w:r>
        <w:rPr>
          <w:rStyle w:val="19"/>
          <w:rFonts w:eastAsia="方正小标宋_GBK"/>
          <w:b w:val="0"/>
          <w:color w:val="000000"/>
        </w:rPr>
        <w:t>附表</w:t>
      </w:r>
      <w:bookmarkEnd w:id="264"/>
      <w:bookmarkEnd w:id="265"/>
      <w:bookmarkEnd w:id="266"/>
      <w:bookmarkEnd w:id="267"/>
    </w:p>
    <w:p>
      <w:pPr>
        <w:pStyle w:val="4"/>
        <w:spacing w:line="520" w:lineRule="exact"/>
        <w:rPr>
          <w:rFonts w:ascii="Times New Roman" w:hAnsi="Times New Roman" w:eastAsia="仿宋"/>
          <w:b w:val="0"/>
          <w:bCs w:val="0"/>
          <w:color w:val="000000"/>
        </w:rPr>
      </w:pPr>
      <w:bookmarkStart w:id="268" w:name="_Toc14405_WPSOffice_Level2"/>
      <w:bookmarkStart w:id="269" w:name="_Toc15396619"/>
      <w:bookmarkStart w:id="270" w:name="_Toc80805995"/>
      <w:bookmarkStart w:id="271" w:name="_Toc80806128"/>
      <w:bookmarkStart w:id="272" w:name="_Toc81232270"/>
      <w:r>
        <w:rPr>
          <w:rFonts w:ascii="Times New Roman" w:hAnsi="Times New Roman" w:eastAsia="仿宋"/>
          <w:b w:val="0"/>
          <w:bCs w:val="0"/>
          <w:color w:val="000000"/>
        </w:rPr>
        <w:t>一、收</w:t>
      </w:r>
      <w:r>
        <w:rPr>
          <w:rStyle w:val="20"/>
          <w:rFonts w:ascii="Times New Roman" w:hAnsi="Times New Roman" w:eastAsia="仿宋"/>
          <w:b w:val="0"/>
          <w:bCs w:val="0"/>
          <w:color w:val="000000"/>
        </w:rPr>
        <w:t>入支出决算总表</w:t>
      </w:r>
      <w:bookmarkEnd w:id="268"/>
      <w:bookmarkEnd w:id="269"/>
      <w:bookmarkEnd w:id="270"/>
      <w:bookmarkEnd w:id="271"/>
      <w:bookmarkEnd w:id="272"/>
    </w:p>
    <w:p>
      <w:pPr>
        <w:pStyle w:val="4"/>
        <w:spacing w:line="520" w:lineRule="exact"/>
        <w:rPr>
          <w:rFonts w:ascii="Times New Roman" w:hAnsi="Times New Roman" w:eastAsia="仿宋"/>
          <w:b w:val="0"/>
          <w:bCs w:val="0"/>
          <w:color w:val="000000"/>
        </w:rPr>
      </w:pPr>
      <w:bookmarkStart w:id="273" w:name="_Toc15396620"/>
      <w:bookmarkStart w:id="274" w:name="_Toc24406_WPSOffice_Level2"/>
      <w:bookmarkStart w:id="275" w:name="_Toc80805996"/>
      <w:bookmarkStart w:id="276" w:name="_Toc80806129"/>
      <w:bookmarkStart w:id="277" w:name="_Toc81232271"/>
      <w:r>
        <w:rPr>
          <w:rFonts w:ascii="Times New Roman" w:hAnsi="Times New Roman" w:eastAsia="仿宋"/>
          <w:b w:val="0"/>
          <w:bCs w:val="0"/>
          <w:color w:val="000000"/>
        </w:rPr>
        <w:t>二、收</w:t>
      </w:r>
      <w:r>
        <w:rPr>
          <w:rStyle w:val="20"/>
          <w:rFonts w:ascii="Times New Roman" w:hAnsi="Times New Roman" w:eastAsia="仿宋"/>
          <w:b w:val="0"/>
          <w:bCs w:val="0"/>
          <w:color w:val="000000"/>
        </w:rPr>
        <w:t>入决算表</w:t>
      </w:r>
      <w:bookmarkEnd w:id="273"/>
      <w:bookmarkEnd w:id="274"/>
      <w:bookmarkEnd w:id="275"/>
      <w:bookmarkEnd w:id="276"/>
      <w:bookmarkEnd w:id="277"/>
    </w:p>
    <w:p>
      <w:pPr>
        <w:pStyle w:val="4"/>
        <w:spacing w:line="520" w:lineRule="exact"/>
        <w:rPr>
          <w:rFonts w:ascii="Times New Roman" w:hAnsi="Times New Roman" w:eastAsia="仿宋"/>
          <w:b w:val="0"/>
          <w:bCs w:val="0"/>
          <w:color w:val="000000"/>
        </w:rPr>
      </w:pPr>
      <w:bookmarkStart w:id="278" w:name="_Toc15396621"/>
      <w:bookmarkStart w:id="279" w:name="_Toc8028_WPSOffice_Level2"/>
      <w:bookmarkStart w:id="280" w:name="_Toc80805997"/>
      <w:bookmarkStart w:id="281" w:name="_Toc80806130"/>
      <w:bookmarkStart w:id="282" w:name="_Toc81232272"/>
      <w:r>
        <w:rPr>
          <w:rStyle w:val="20"/>
          <w:rFonts w:ascii="Times New Roman" w:hAnsi="Times New Roman" w:eastAsia="仿宋"/>
          <w:b w:val="0"/>
          <w:bCs w:val="0"/>
          <w:color w:val="000000"/>
        </w:rPr>
        <w:t>三、</w:t>
      </w:r>
      <w:r>
        <w:rPr>
          <w:rFonts w:ascii="Times New Roman" w:hAnsi="Times New Roman" w:eastAsia="仿宋"/>
          <w:b w:val="0"/>
          <w:bCs w:val="0"/>
          <w:color w:val="000000"/>
        </w:rPr>
        <w:t>支</w:t>
      </w:r>
      <w:r>
        <w:rPr>
          <w:rStyle w:val="20"/>
          <w:rFonts w:ascii="Times New Roman" w:hAnsi="Times New Roman" w:eastAsia="仿宋"/>
          <w:b w:val="0"/>
          <w:bCs w:val="0"/>
          <w:color w:val="000000"/>
        </w:rPr>
        <w:t>出决算表</w:t>
      </w:r>
      <w:bookmarkEnd w:id="278"/>
      <w:bookmarkEnd w:id="279"/>
      <w:bookmarkEnd w:id="280"/>
      <w:bookmarkEnd w:id="281"/>
      <w:bookmarkEnd w:id="282"/>
    </w:p>
    <w:p>
      <w:pPr>
        <w:pStyle w:val="4"/>
        <w:spacing w:line="520" w:lineRule="exact"/>
        <w:rPr>
          <w:rFonts w:ascii="Times New Roman" w:hAnsi="Times New Roman" w:eastAsia="仿宋"/>
          <w:b w:val="0"/>
          <w:bCs w:val="0"/>
          <w:color w:val="000000"/>
        </w:rPr>
      </w:pPr>
      <w:bookmarkStart w:id="283" w:name="_Toc15396622"/>
      <w:bookmarkStart w:id="284" w:name="_Toc20170_WPSOffice_Level2"/>
      <w:bookmarkStart w:id="285" w:name="_Toc80805998"/>
      <w:bookmarkStart w:id="286" w:name="_Toc80806131"/>
      <w:bookmarkStart w:id="287" w:name="_Toc81232273"/>
      <w:r>
        <w:rPr>
          <w:rStyle w:val="20"/>
          <w:rFonts w:ascii="Times New Roman" w:hAnsi="Times New Roman" w:eastAsia="仿宋"/>
          <w:b w:val="0"/>
          <w:bCs w:val="0"/>
          <w:color w:val="000000"/>
        </w:rPr>
        <w:t>四、</w:t>
      </w:r>
      <w:r>
        <w:rPr>
          <w:rFonts w:ascii="Times New Roman" w:hAnsi="Times New Roman" w:eastAsia="仿宋"/>
          <w:b w:val="0"/>
          <w:bCs w:val="0"/>
          <w:color w:val="000000"/>
        </w:rPr>
        <w:t>财</w:t>
      </w:r>
      <w:r>
        <w:rPr>
          <w:rStyle w:val="20"/>
          <w:rFonts w:ascii="Times New Roman" w:hAnsi="Times New Roman" w:eastAsia="仿宋"/>
          <w:b w:val="0"/>
          <w:bCs w:val="0"/>
          <w:color w:val="000000"/>
        </w:rPr>
        <w:t>政拨款收入支出决算总表</w:t>
      </w:r>
      <w:bookmarkEnd w:id="283"/>
      <w:bookmarkEnd w:id="284"/>
      <w:bookmarkEnd w:id="285"/>
      <w:bookmarkEnd w:id="286"/>
      <w:bookmarkEnd w:id="287"/>
    </w:p>
    <w:p>
      <w:pPr>
        <w:pStyle w:val="4"/>
        <w:spacing w:line="520" w:lineRule="exact"/>
        <w:rPr>
          <w:rStyle w:val="20"/>
          <w:rFonts w:ascii="Times New Roman" w:hAnsi="Times New Roman" w:eastAsia="仿宋"/>
          <w:b w:val="0"/>
          <w:bCs w:val="0"/>
          <w:color w:val="000000"/>
        </w:rPr>
      </w:pPr>
      <w:bookmarkStart w:id="288" w:name="_Toc15396623"/>
      <w:bookmarkStart w:id="289" w:name="_Toc1132_WPSOffice_Level2"/>
      <w:bookmarkStart w:id="290" w:name="_Toc80805999"/>
      <w:bookmarkStart w:id="291" w:name="_Toc80806132"/>
      <w:bookmarkStart w:id="292" w:name="_Toc81232274"/>
      <w:r>
        <w:rPr>
          <w:rStyle w:val="20"/>
          <w:rFonts w:ascii="Times New Roman" w:hAnsi="Times New Roman" w:eastAsia="仿宋"/>
          <w:b w:val="0"/>
          <w:bCs w:val="0"/>
          <w:color w:val="000000"/>
        </w:rPr>
        <w:t>五、</w:t>
      </w:r>
      <w:r>
        <w:rPr>
          <w:rFonts w:ascii="Times New Roman" w:hAnsi="Times New Roman" w:eastAsia="仿宋"/>
          <w:b w:val="0"/>
          <w:bCs w:val="0"/>
          <w:color w:val="000000"/>
        </w:rPr>
        <w:t>财</w:t>
      </w:r>
      <w:r>
        <w:rPr>
          <w:rStyle w:val="20"/>
          <w:rFonts w:ascii="Times New Roman" w:hAnsi="Times New Roman" w:eastAsia="仿宋"/>
          <w:b w:val="0"/>
          <w:bCs w:val="0"/>
          <w:color w:val="000000"/>
        </w:rPr>
        <w:t>政拨款支出决算明细表</w:t>
      </w:r>
      <w:bookmarkEnd w:id="288"/>
      <w:bookmarkEnd w:id="289"/>
      <w:bookmarkEnd w:id="290"/>
      <w:bookmarkEnd w:id="291"/>
      <w:bookmarkEnd w:id="292"/>
      <w:bookmarkStart w:id="293" w:name="_Toc15396624"/>
      <w:r>
        <w:rPr>
          <w:rStyle w:val="20"/>
          <w:rFonts w:ascii="Times New Roman" w:hAnsi="Times New Roman" w:eastAsia="仿宋"/>
          <w:b w:val="0"/>
          <w:bCs w:val="0"/>
          <w:color w:val="000000"/>
        </w:rPr>
        <w:t xml:space="preserve"> </w:t>
      </w:r>
    </w:p>
    <w:p>
      <w:pPr>
        <w:pStyle w:val="4"/>
        <w:spacing w:line="520" w:lineRule="exact"/>
        <w:rPr>
          <w:rFonts w:ascii="Times New Roman" w:hAnsi="Times New Roman" w:eastAsia="仿宋"/>
          <w:b w:val="0"/>
          <w:bCs w:val="0"/>
          <w:color w:val="000000"/>
        </w:rPr>
      </w:pPr>
      <w:bookmarkStart w:id="294" w:name="_Toc8309_WPSOffice_Level2"/>
      <w:bookmarkStart w:id="295" w:name="_Toc80806000"/>
      <w:bookmarkStart w:id="296" w:name="_Toc80806133"/>
      <w:bookmarkStart w:id="297" w:name="_Toc81232275"/>
      <w:r>
        <w:rPr>
          <w:rStyle w:val="20"/>
          <w:rFonts w:ascii="Times New Roman" w:hAnsi="Times New Roman" w:eastAsia="仿宋"/>
          <w:b w:val="0"/>
          <w:bCs w:val="0"/>
          <w:color w:val="000000"/>
        </w:rPr>
        <w:t>六、</w:t>
      </w:r>
      <w:r>
        <w:rPr>
          <w:rFonts w:ascii="Times New Roman" w:hAnsi="Times New Roman" w:eastAsia="仿宋"/>
          <w:b w:val="0"/>
          <w:bCs w:val="0"/>
          <w:color w:val="000000"/>
        </w:rPr>
        <w:t>一</w:t>
      </w:r>
      <w:r>
        <w:rPr>
          <w:rStyle w:val="20"/>
          <w:rFonts w:ascii="Times New Roman" w:hAnsi="Times New Roman" w:eastAsia="仿宋"/>
          <w:b w:val="0"/>
          <w:bCs w:val="0"/>
          <w:color w:val="000000"/>
        </w:rPr>
        <w:t>般公共预算财政拨款支出决算表</w:t>
      </w:r>
      <w:bookmarkEnd w:id="293"/>
      <w:bookmarkEnd w:id="294"/>
      <w:bookmarkEnd w:id="295"/>
      <w:bookmarkEnd w:id="296"/>
      <w:bookmarkEnd w:id="297"/>
    </w:p>
    <w:p>
      <w:pPr>
        <w:pStyle w:val="4"/>
        <w:spacing w:line="520" w:lineRule="exact"/>
        <w:rPr>
          <w:rFonts w:ascii="Times New Roman" w:hAnsi="Times New Roman" w:eastAsia="仿宋"/>
          <w:b w:val="0"/>
          <w:bCs w:val="0"/>
          <w:color w:val="000000"/>
        </w:rPr>
      </w:pPr>
      <w:bookmarkStart w:id="298" w:name="_Toc15396625"/>
      <w:bookmarkStart w:id="299" w:name="_Toc15225_WPSOffice_Level2"/>
      <w:bookmarkStart w:id="300" w:name="_Toc80806001"/>
      <w:bookmarkStart w:id="301" w:name="_Toc80806134"/>
      <w:bookmarkStart w:id="302" w:name="_Toc81232276"/>
      <w:r>
        <w:rPr>
          <w:rStyle w:val="20"/>
          <w:rFonts w:ascii="Times New Roman" w:hAnsi="Times New Roman" w:eastAsia="仿宋"/>
          <w:b w:val="0"/>
          <w:bCs w:val="0"/>
          <w:color w:val="000000"/>
        </w:rPr>
        <w:t>七、</w:t>
      </w:r>
      <w:r>
        <w:rPr>
          <w:rFonts w:ascii="Times New Roman" w:hAnsi="Times New Roman" w:eastAsia="仿宋"/>
          <w:b w:val="0"/>
          <w:bCs w:val="0"/>
          <w:color w:val="000000"/>
        </w:rPr>
        <w:t>一</w:t>
      </w:r>
      <w:r>
        <w:rPr>
          <w:rStyle w:val="20"/>
          <w:rFonts w:ascii="Times New Roman" w:hAnsi="Times New Roman" w:eastAsia="仿宋"/>
          <w:b w:val="0"/>
          <w:bCs w:val="0"/>
          <w:color w:val="000000"/>
        </w:rPr>
        <w:t>般公共预算财政拨款支出决算明细表</w:t>
      </w:r>
      <w:bookmarkEnd w:id="298"/>
      <w:bookmarkEnd w:id="299"/>
      <w:bookmarkEnd w:id="300"/>
      <w:bookmarkEnd w:id="301"/>
      <w:bookmarkEnd w:id="302"/>
    </w:p>
    <w:p>
      <w:pPr>
        <w:pStyle w:val="4"/>
        <w:spacing w:line="520" w:lineRule="exact"/>
        <w:rPr>
          <w:rFonts w:ascii="Times New Roman" w:hAnsi="Times New Roman" w:eastAsia="仿宋"/>
          <w:b w:val="0"/>
          <w:bCs w:val="0"/>
          <w:color w:val="000000"/>
        </w:rPr>
      </w:pPr>
      <w:bookmarkStart w:id="303" w:name="_Toc15396626"/>
      <w:bookmarkStart w:id="304" w:name="_Toc27460_WPSOffice_Level2"/>
      <w:bookmarkStart w:id="305" w:name="_Toc80806002"/>
      <w:bookmarkStart w:id="306" w:name="_Toc80806135"/>
      <w:bookmarkStart w:id="307" w:name="_Toc81232277"/>
      <w:r>
        <w:rPr>
          <w:rStyle w:val="20"/>
          <w:rFonts w:ascii="Times New Roman" w:hAnsi="Times New Roman" w:eastAsia="仿宋"/>
          <w:b w:val="0"/>
          <w:bCs w:val="0"/>
          <w:color w:val="000000"/>
        </w:rPr>
        <w:t>八、</w:t>
      </w:r>
      <w:r>
        <w:rPr>
          <w:rFonts w:ascii="Times New Roman" w:hAnsi="Times New Roman" w:eastAsia="仿宋"/>
          <w:b w:val="0"/>
          <w:bCs w:val="0"/>
          <w:color w:val="000000"/>
        </w:rPr>
        <w:t>一</w:t>
      </w:r>
      <w:r>
        <w:rPr>
          <w:rStyle w:val="20"/>
          <w:rFonts w:ascii="Times New Roman" w:hAnsi="Times New Roman" w:eastAsia="仿宋"/>
          <w:b w:val="0"/>
          <w:bCs w:val="0"/>
          <w:color w:val="000000"/>
        </w:rPr>
        <w:t>般公共预算财政拨款基本支出决算表</w:t>
      </w:r>
      <w:bookmarkEnd w:id="303"/>
      <w:bookmarkEnd w:id="304"/>
      <w:bookmarkEnd w:id="305"/>
      <w:bookmarkEnd w:id="306"/>
      <w:bookmarkEnd w:id="307"/>
    </w:p>
    <w:p>
      <w:pPr>
        <w:pStyle w:val="4"/>
        <w:spacing w:line="520" w:lineRule="exact"/>
        <w:rPr>
          <w:rFonts w:ascii="Times New Roman" w:hAnsi="Times New Roman" w:eastAsia="仿宋"/>
          <w:b w:val="0"/>
          <w:bCs w:val="0"/>
          <w:color w:val="000000"/>
        </w:rPr>
      </w:pPr>
      <w:bookmarkStart w:id="308" w:name="_Toc15396627"/>
      <w:bookmarkStart w:id="309" w:name="_Toc11982_WPSOffice_Level2"/>
      <w:bookmarkStart w:id="310" w:name="_Toc80806003"/>
      <w:bookmarkStart w:id="311" w:name="_Toc80806136"/>
      <w:bookmarkStart w:id="312" w:name="_Toc81232278"/>
      <w:r>
        <w:rPr>
          <w:rStyle w:val="20"/>
          <w:rFonts w:ascii="Times New Roman" w:hAnsi="Times New Roman" w:eastAsia="仿宋"/>
          <w:b w:val="0"/>
          <w:bCs w:val="0"/>
          <w:color w:val="000000"/>
        </w:rPr>
        <w:t>九、</w:t>
      </w:r>
      <w:r>
        <w:rPr>
          <w:rFonts w:ascii="Times New Roman" w:hAnsi="Times New Roman" w:eastAsia="仿宋"/>
          <w:b w:val="0"/>
          <w:bCs w:val="0"/>
          <w:color w:val="000000"/>
        </w:rPr>
        <w:t>一</w:t>
      </w:r>
      <w:r>
        <w:rPr>
          <w:rStyle w:val="20"/>
          <w:rFonts w:ascii="Times New Roman" w:hAnsi="Times New Roman" w:eastAsia="仿宋"/>
          <w:b w:val="0"/>
          <w:bCs w:val="0"/>
          <w:color w:val="000000"/>
        </w:rPr>
        <w:t>般公共预算财政拨款项目支出决算表</w:t>
      </w:r>
      <w:bookmarkEnd w:id="308"/>
      <w:bookmarkEnd w:id="309"/>
      <w:bookmarkEnd w:id="310"/>
      <w:bookmarkEnd w:id="311"/>
      <w:bookmarkEnd w:id="312"/>
    </w:p>
    <w:p>
      <w:pPr>
        <w:pStyle w:val="4"/>
        <w:spacing w:line="520" w:lineRule="exact"/>
        <w:rPr>
          <w:rFonts w:ascii="Times New Roman" w:hAnsi="Times New Roman" w:eastAsia="仿宋"/>
          <w:b w:val="0"/>
          <w:bCs w:val="0"/>
          <w:color w:val="000000"/>
        </w:rPr>
      </w:pPr>
      <w:bookmarkStart w:id="313" w:name="_Toc15396628"/>
      <w:bookmarkStart w:id="314" w:name="_Toc11037_WPSOffice_Level2"/>
      <w:bookmarkStart w:id="315" w:name="_Toc80806004"/>
      <w:bookmarkStart w:id="316" w:name="_Toc80806137"/>
      <w:bookmarkStart w:id="317" w:name="_Toc81232279"/>
      <w:r>
        <w:rPr>
          <w:rStyle w:val="20"/>
          <w:rFonts w:ascii="Times New Roman" w:hAnsi="Times New Roman" w:eastAsia="仿宋"/>
          <w:b w:val="0"/>
          <w:bCs w:val="0"/>
          <w:color w:val="000000"/>
        </w:rPr>
        <w:t>十、</w:t>
      </w:r>
      <w:r>
        <w:rPr>
          <w:rFonts w:ascii="Times New Roman" w:hAnsi="Times New Roman" w:eastAsia="仿宋"/>
          <w:b w:val="0"/>
          <w:bCs w:val="0"/>
          <w:color w:val="000000"/>
        </w:rPr>
        <w:t>一</w:t>
      </w:r>
      <w:r>
        <w:rPr>
          <w:rStyle w:val="20"/>
          <w:rFonts w:ascii="Times New Roman" w:hAnsi="Times New Roman" w:eastAsia="仿宋"/>
          <w:b w:val="0"/>
          <w:bCs w:val="0"/>
          <w:color w:val="000000"/>
        </w:rPr>
        <w:t>般公共预算财政拨款</w:t>
      </w:r>
      <w:r>
        <w:rPr>
          <w:rStyle w:val="20"/>
          <w:rFonts w:hint="eastAsia" w:ascii="Times New Roman" w:hAnsi="Times New Roman" w:eastAsia="仿宋"/>
          <w:b w:val="0"/>
          <w:bCs w:val="0"/>
          <w:color w:val="000000"/>
        </w:rPr>
        <w:t>“</w:t>
      </w:r>
      <w:r>
        <w:rPr>
          <w:rStyle w:val="20"/>
          <w:rFonts w:ascii="Times New Roman" w:hAnsi="Times New Roman" w:eastAsia="仿宋"/>
          <w:b w:val="0"/>
          <w:bCs w:val="0"/>
          <w:color w:val="000000"/>
        </w:rPr>
        <w:t>三公</w:t>
      </w:r>
      <w:r>
        <w:rPr>
          <w:rStyle w:val="20"/>
          <w:rFonts w:hint="eastAsia" w:ascii="Times New Roman" w:hAnsi="Times New Roman" w:eastAsia="仿宋"/>
          <w:b w:val="0"/>
          <w:bCs w:val="0"/>
          <w:color w:val="000000"/>
        </w:rPr>
        <w:t>”</w:t>
      </w:r>
      <w:r>
        <w:rPr>
          <w:rStyle w:val="20"/>
          <w:rFonts w:ascii="Times New Roman" w:hAnsi="Times New Roman" w:eastAsia="仿宋"/>
          <w:b w:val="0"/>
          <w:bCs w:val="0"/>
          <w:color w:val="000000"/>
        </w:rPr>
        <w:t>经费支出决算表</w:t>
      </w:r>
      <w:bookmarkEnd w:id="313"/>
      <w:bookmarkEnd w:id="314"/>
      <w:bookmarkEnd w:id="315"/>
      <w:bookmarkEnd w:id="316"/>
      <w:bookmarkEnd w:id="317"/>
    </w:p>
    <w:p>
      <w:pPr>
        <w:pStyle w:val="4"/>
        <w:spacing w:line="520" w:lineRule="exact"/>
        <w:rPr>
          <w:rFonts w:ascii="Times New Roman" w:hAnsi="Times New Roman" w:eastAsia="仿宋"/>
          <w:b w:val="0"/>
          <w:bCs w:val="0"/>
          <w:color w:val="000000"/>
        </w:rPr>
      </w:pPr>
      <w:bookmarkStart w:id="318" w:name="_Toc15396629"/>
      <w:bookmarkStart w:id="319" w:name="_Toc25181_WPSOffice_Level2"/>
      <w:bookmarkStart w:id="320" w:name="_Toc80806005"/>
      <w:bookmarkStart w:id="321" w:name="_Toc80806138"/>
      <w:bookmarkStart w:id="322" w:name="_Toc81232280"/>
      <w:r>
        <w:rPr>
          <w:rStyle w:val="20"/>
          <w:rFonts w:ascii="Times New Roman" w:hAnsi="Times New Roman" w:eastAsia="仿宋"/>
          <w:b w:val="0"/>
          <w:bCs w:val="0"/>
          <w:color w:val="000000"/>
        </w:rPr>
        <w:t>十一、</w:t>
      </w:r>
      <w:r>
        <w:rPr>
          <w:rFonts w:ascii="Times New Roman" w:hAnsi="Times New Roman" w:eastAsia="仿宋"/>
          <w:b w:val="0"/>
          <w:bCs w:val="0"/>
          <w:color w:val="000000"/>
        </w:rPr>
        <w:t>政</w:t>
      </w:r>
      <w:r>
        <w:rPr>
          <w:rStyle w:val="20"/>
          <w:rFonts w:ascii="Times New Roman" w:hAnsi="Times New Roman" w:eastAsia="仿宋"/>
          <w:b w:val="0"/>
          <w:bCs w:val="0"/>
          <w:color w:val="000000"/>
        </w:rPr>
        <w:t>府性基金预算财政拨款收入支出决算表</w:t>
      </w:r>
      <w:bookmarkEnd w:id="318"/>
      <w:bookmarkEnd w:id="319"/>
      <w:bookmarkEnd w:id="320"/>
      <w:bookmarkEnd w:id="321"/>
      <w:bookmarkEnd w:id="322"/>
    </w:p>
    <w:p>
      <w:pPr>
        <w:pStyle w:val="4"/>
        <w:spacing w:line="520" w:lineRule="exact"/>
        <w:rPr>
          <w:rFonts w:ascii="Times New Roman" w:hAnsi="Times New Roman" w:eastAsia="仿宋"/>
          <w:b w:val="0"/>
          <w:bCs w:val="0"/>
          <w:color w:val="000000"/>
        </w:rPr>
      </w:pPr>
      <w:bookmarkStart w:id="323" w:name="_Toc15396630"/>
      <w:bookmarkStart w:id="324" w:name="_Toc30021_WPSOffice_Level2"/>
      <w:bookmarkStart w:id="325" w:name="_Toc80806006"/>
      <w:bookmarkStart w:id="326" w:name="_Toc80806139"/>
      <w:bookmarkStart w:id="327" w:name="_Toc81232281"/>
      <w:r>
        <w:rPr>
          <w:rStyle w:val="20"/>
          <w:rFonts w:ascii="Times New Roman" w:hAnsi="Times New Roman" w:eastAsia="仿宋"/>
          <w:b w:val="0"/>
          <w:bCs w:val="0"/>
          <w:color w:val="000000"/>
        </w:rPr>
        <w:t>十二、</w:t>
      </w:r>
      <w:r>
        <w:rPr>
          <w:rFonts w:ascii="Times New Roman" w:hAnsi="Times New Roman" w:eastAsia="仿宋"/>
          <w:b w:val="0"/>
          <w:bCs w:val="0"/>
          <w:color w:val="000000"/>
        </w:rPr>
        <w:t>政</w:t>
      </w:r>
      <w:r>
        <w:rPr>
          <w:rStyle w:val="20"/>
          <w:rFonts w:ascii="Times New Roman" w:hAnsi="Times New Roman" w:eastAsia="仿宋"/>
          <w:b w:val="0"/>
          <w:bCs w:val="0"/>
          <w:color w:val="000000"/>
        </w:rPr>
        <w:t>府性基金预算财政拨款</w:t>
      </w:r>
      <w:r>
        <w:rPr>
          <w:rStyle w:val="20"/>
          <w:rFonts w:hint="eastAsia" w:ascii="Times New Roman" w:hAnsi="Times New Roman" w:eastAsia="仿宋"/>
          <w:b w:val="0"/>
          <w:bCs w:val="0"/>
          <w:color w:val="000000"/>
        </w:rPr>
        <w:t>“</w:t>
      </w:r>
      <w:r>
        <w:rPr>
          <w:rStyle w:val="20"/>
          <w:rFonts w:ascii="Times New Roman" w:hAnsi="Times New Roman" w:eastAsia="仿宋"/>
          <w:b w:val="0"/>
          <w:bCs w:val="0"/>
          <w:color w:val="000000"/>
        </w:rPr>
        <w:t>三公</w:t>
      </w:r>
      <w:r>
        <w:rPr>
          <w:rStyle w:val="20"/>
          <w:rFonts w:hint="eastAsia" w:ascii="Times New Roman" w:hAnsi="Times New Roman" w:eastAsia="仿宋"/>
          <w:b w:val="0"/>
          <w:bCs w:val="0"/>
          <w:color w:val="000000"/>
        </w:rPr>
        <w:t>”</w:t>
      </w:r>
      <w:r>
        <w:rPr>
          <w:rStyle w:val="20"/>
          <w:rFonts w:ascii="Times New Roman" w:hAnsi="Times New Roman" w:eastAsia="仿宋"/>
          <w:b w:val="0"/>
          <w:bCs w:val="0"/>
          <w:color w:val="000000"/>
        </w:rPr>
        <w:t>经费支出决算表</w:t>
      </w:r>
      <w:bookmarkEnd w:id="323"/>
      <w:bookmarkEnd w:id="324"/>
      <w:bookmarkEnd w:id="325"/>
      <w:bookmarkEnd w:id="326"/>
      <w:bookmarkEnd w:id="327"/>
    </w:p>
    <w:p>
      <w:pPr>
        <w:pStyle w:val="4"/>
        <w:spacing w:line="520" w:lineRule="exact"/>
        <w:rPr>
          <w:rStyle w:val="20"/>
          <w:rFonts w:hint="eastAsia" w:ascii="Times New Roman" w:hAnsi="Times New Roman" w:eastAsia="仿宋"/>
          <w:b w:val="0"/>
          <w:bCs w:val="0"/>
          <w:color w:val="000000"/>
        </w:rPr>
      </w:pPr>
      <w:bookmarkStart w:id="328" w:name="_Toc15396631"/>
      <w:bookmarkStart w:id="329" w:name="_Toc6920_WPSOffice_Level2"/>
      <w:bookmarkStart w:id="330" w:name="_Toc80806007"/>
      <w:bookmarkStart w:id="331" w:name="_Toc80806140"/>
      <w:bookmarkStart w:id="332" w:name="_Toc81232282"/>
      <w:r>
        <w:rPr>
          <w:rStyle w:val="20"/>
          <w:rFonts w:ascii="Times New Roman" w:hAnsi="Times New Roman" w:eastAsia="仿宋"/>
          <w:b w:val="0"/>
          <w:bCs w:val="0"/>
          <w:color w:val="000000"/>
        </w:rPr>
        <w:t>十三、</w:t>
      </w:r>
      <w:r>
        <w:rPr>
          <w:rFonts w:ascii="Times New Roman" w:hAnsi="Times New Roman" w:eastAsia="仿宋"/>
          <w:b w:val="0"/>
          <w:bCs w:val="0"/>
          <w:color w:val="000000"/>
        </w:rPr>
        <w:t>国</w:t>
      </w:r>
      <w:r>
        <w:rPr>
          <w:rStyle w:val="20"/>
          <w:rFonts w:ascii="Times New Roman" w:hAnsi="Times New Roman" w:eastAsia="仿宋"/>
          <w:b w:val="0"/>
          <w:bCs w:val="0"/>
          <w:color w:val="000000"/>
        </w:rPr>
        <w:t>有资本经营预算</w:t>
      </w:r>
      <w:r>
        <w:rPr>
          <w:rStyle w:val="20"/>
          <w:rFonts w:hint="eastAsia" w:ascii="Times New Roman" w:hAnsi="Times New Roman" w:eastAsia="仿宋"/>
          <w:b w:val="0"/>
          <w:bCs w:val="0"/>
          <w:color w:val="000000"/>
        </w:rPr>
        <w:t>财政拨款收入</w:t>
      </w:r>
      <w:r>
        <w:rPr>
          <w:rStyle w:val="20"/>
          <w:rFonts w:ascii="Times New Roman" w:hAnsi="Times New Roman" w:eastAsia="仿宋"/>
          <w:b w:val="0"/>
          <w:bCs w:val="0"/>
          <w:color w:val="000000"/>
        </w:rPr>
        <w:t>支出决算表</w:t>
      </w:r>
      <w:bookmarkEnd w:id="328"/>
      <w:bookmarkEnd w:id="329"/>
      <w:bookmarkEnd w:id="330"/>
      <w:bookmarkEnd w:id="331"/>
      <w:bookmarkEnd w:id="332"/>
    </w:p>
    <w:p>
      <w:pPr>
        <w:pStyle w:val="4"/>
        <w:spacing w:line="520" w:lineRule="exact"/>
        <w:rPr>
          <w:rStyle w:val="20"/>
          <w:rFonts w:hint="eastAsia" w:ascii="Times New Roman" w:hAnsi="Times New Roman" w:eastAsia="仿宋"/>
          <w:b w:val="0"/>
          <w:bCs w:val="0"/>
          <w:color w:val="000000"/>
        </w:rPr>
      </w:pPr>
      <w:bookmarkStart w:id="333" w:name="_Toc81232283"/>
      <w:r>
        <w:rPr>
          <w:rStyle w:val="20"/>
          <w:rFonts w:ascii="Times New Roman" w:hAnsi="Times New Roman" w:eastAsia="仿宋"/>
          <w:b w:val="0"/>
          <w:bCs w:val="0"/>
          <w:color w:val="000000"/>
        </w:rPr>
        <w:t>十</w:t>
      </w:r>
      <w:r>
        <w:rPr>
          <w:rStyle w:val="20"/>
          <w:rFonts w:hint="eastAsia" w:ascii="Times New Roman" w:hAnsi="Times New Roman" w:eastAsia="仿宋"/>
          <w:b w:val="0"/>
          <w:bCs w:val="0"/>
          <w:color w:val="000000"/>
        </w:rPr>
        <w:t>四</w:t>
      </w:r>
      <w:r>
        <w:rPr>
          <w:rStyle w:val="20"/>
          <w:rFonts w:ascii="Times New Roman" w:hAnsi="Times New Roman" w:eastAsia="仿宋"/>
          <w:b w:val="0"/>
          <w:bCs w:val="0"/>
          <w:color w:val="000000"/>
        </w:rPr>
        <w:t>、</w:t>
      </w:r>
      <w:r>
        <w:rPr>
          <w:rFonts w:ascii="Times New Roman" w:hAnsi="Times New Roman" w:eastAsia="仿宋"/>
          <w:b w:val="0"/>
          <w:bCs w:val="0"/>
          <w:color w:val="000000"/>
        </w:rPr>
        <w:t>国</w:t>
      </w:r>
      <w:r>
        <w:rPr>
          <w:rStyle w:val="20"/>
          <w:rFonts w:ascii="Times New Roman" w:hAnsi="Times New Roman" w:eastAsia="仿宋"/>
          <w:b w:val="0"/>
          <w:bCs w:val="0"/>
          <w:color w:val="000000"/>
        </w:rPr>
        <w:t>有资本经营预算</w:t>
      </w:r>
      <w:r>
        <w:rPr>
          <w:rStyle w:val="20"/>
          <w:rFonts w:hint="eastAsia" w:ascii="Times New Roman" w:hAnsi="Times New Roman" w:eastAsia="仿宋"/>
          <w:b w:val="0"/>
          <w:bCs w:val="0"/>
          <w:color w:val="000000"/>
        </w:rPr>
        <w:t>财政拨款</w:t>
      </w:r>
      <w:r>
        <w:rPr>
          <w:rStyle w:val="20"/>
          <w:rFonts w:ascii="Times New Roman" w:hAnsi="Times New Roman" w:eastAsia="仿宋"/>
          <w:b w:val="0"/>
          <w:bCs w:val="0"/>
          <w:color w:val="000000"/>
        </w:rPr>
        <w:t>支出决算表</w:t>
      </w:r>
      <w:bookmarkEnd w:id="333"/>
    </w:p>
    <w:p>
      <w:pPr>
        <w:spacing w:line="560" w:lineRule="exact"/>
        <w:rPr>
          <w:rFonts w:hint="eastAsia"/>
        </w:rPr>
      </w:pPr>
      <w:r>
        <w:rPr>
          <w:rFonts w:hint="eastAsia" w:eastAsia="仿宋" w:cs="Times New Roman"/>
          <w:bCs/>
          <w:color w:val="000000"/>
          <w:sz w:val="32"/>
          <w:szCs w:val="32"/>
        </w:rPr>
        <w:t xml:space="preserve">               </w:t>
      </w:r>
    </w:p>
    <w:sectPr>
      <w:footerReference r:id="rId3" w:type="default"/>
      <w:footerReference r:id="rId4" w:type="even"/>
      <w:pgSz w:w="11906" w:h="16838"/>
      <w:pgMar w:top="2098" w:right="1474" w:bottom="1985" w:left="1588" w:header="851" w:footer="1418" w:gutter="0"/>
      <w:pgNumType w:start="1"/>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jc w:val="right"/>
    </w:pPr>
    <w:r>
      <w:pict>
        <v:shape id="_x0000_s17419" o:spid="_x0000_s1741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7"/>
                  <w:jc w:val="right"/>
                </w:pPr>
                <w:r>
                  <w:rPr>
                    <w:rFonts w:hint="eastAsia" w:ascii="仿宋_GB2312" w:hAnsi="宋体" w:eastAsia="仿宋_GB2312"/>
                    <w:b/>
                    <w:sz w:val="28"/>
                    <w:szCs w:val="28"/>
                  </w:rPr>
                  <w:t xml:space="preserve">— </w:t>
                </w:r>
                <w:r>
                  <w:rPr>
                    <w:rFonts w:hint="eastAsia" w:ascii="仿宋_GB2312" w:hAnsi="宋体" w:eastAsia="仿宋_GB2312"/>
                    <w:b/>
                    <w:sz w:val="28"/>
                    <w:szCs w:val="28"/>
                  </w:rPr>
                  <w:fldChar w:fldCharType="begin"/>
                </w:r>
                <w:r>
                  <w:rPr>
                    <w:rFonts w:hint="eastAsia" w:ascii="仿宋_GB2312" w:hAnsi="宋体" w:eastAsia="仿宋_GB2312"/>
                    <w:b/>
                    <w:sz w:val="28"/>
                    <w:szCs w:val="28"/>
                  </w:rPr>
                  <w:instrText xml:space="preserve"> PAGE   \* MERGEFORMAT </w:instrText>
                </w:r>
                <w:r>
                  <w:rPr>
                    <w:rFonts w:hint="eastAsia" w:ascii="仿宋_GB2312" w:hAnsi="宋体" w:eastAsia="仿宋_GB2312"/>
                    <w:b/>
                    <w:sz w:val="28"/>
                    <w:szCs w:val="28"/>
                  </w:rPr>
                  <w:fldChar w:fldCharType="separate"/>
                </w:r>
                <w:r>
                  <w:rPr>
                    <w:rFonts w:ascii="仿宋_GB2312" w:hAnsi="宋体" w:eastAsia="仿宋_GB2312"/>
                    <w:b/>
                    <w:sz w:val="28"/>
                    <w:szCs w:val="28"/>
                    <w:lang w:val="zh-CN" w:eastAsia="zh-CN"/>
                  </w:rPr>
                  <w:t>15</w:t>
                </w:r>
                <w:r>
                  <w:rPr>
                    <w:rFonts w:hint="eastAsia" w:ascii="仿宋_GB2312" w:hAnsi="宋体" w:eastAsia="仿宋_GB2312"/>
                    <w:b/>
                    <w:sz w:val="28"/>
                    <w:szCs w:val="28"/>
                  </w:rPr>
                  <w:fldChar w:fldCharType="end"/>
                </w:r>
                <w:r>
                  <w:rPr>
                    <w:rFonts w:hint="eastAsia" w:ascii="仿宋_GB2312" w:hAnsi="宋体" w:eastAsia="仿宋_GB2312"/>
                    <w:b/>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7420" o:spid="_x0000_s1742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ascii="仿宋_GB2312" w:eastAsia="仿宋_GB2312"/>
                    <w:b/>
                    <w:sz w:val="28"/>
                    <w:szCs w:val="28"/>
                  </w:rPr>
                  <w:t xml:space="preserve">— </w:t>
                </w:r>
                <w:r>
                  <w:rPr>
                    <w:rFonts w:hint="eastAsia" w:ascii="仿宋_GB2312" w:eastAsia="仿宋_GB2312"/>
                    <w:b/>
                    <w:sz w:val="28"/>
                    <w:szCs w:val="28"/>
                  </w:rPr>
                  <w:fldChar w:fldCharType="begin"/>
                </w:r>
                <w:r>
                  <w:rPr>
                    <w:rFonts w:hint="eastAsia" w:ascii="仿宋_GB2312" w:eastAsia="仿宋_GB2312"/>
                    <w:b/>
                    <w:sz w:val="28"/>
                    <w:szCs w:val="28"/>
                  </w:rPr>
                  <w:instrText xml:space="preserve"> PAGE   \* MERGEFORMAT </w:instrText>
                </w:r>
                <w:r>
                  <w:rPr>
                    <w:rFonts w:hint="eastAsia" w:ascii="仿宋_GB2312" w:eastAsia="仿宋_GB2312"/>
                    <w:b/>
                    <w:sz w:val="28"/>
                    <w:szCs w:val="28"/>
                  </w:rPr>
                  <w:fldChar w:fldCharType="separate"/>
                </w:r>
                <w:r>
                  <w:rPr>
                    <w:rFonts w:ascii="仿宋_GB2312" w:eastAsia="仿宋_GB2312"/>
                    <w:b/>
                    <w:sz w:val="28"/>
                    <w:szCs w:val="28"/>
                    <w:lang w:val="zh-CN" w:eastAsia="zh-CN"/>
                  </w:rPr>
                  <w:t>16</w:t>
                </w:r>
                <w:r>
                  <w:rPr>
                    <w:rFonts w:hint="eastAsia" w:ascii="仿宋_GB2312" w:eastAsia="仿宋_GB2312"/>
                    <w:b/>
                    <w:sz w:val="28"/>
                    <w:szCs w:val="28"/>
                  </w:rPr>
                  <w:fldChar w:fldCharType="end"/>
                </w:r>
                <w:r>
                  <w:rPr>
                    <w:rFonts w:hint="eastAsia" w:ascii="仿宋_GB2312" w:eastAsia="仿宋_GB2312"/>
                    <w:b/>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NotTrackMoves/>
  <w:documentProtection w:enforcement="0"/>
  <w:defaultTabStop w:val="420"/>
  <w:doNotHyphenateCaps/>
  <w:evenAndOddHeaders w:val="1"/>
  <w:drawingGridHorizontalSpacing w:val="105"/>
  <w:drawingGridVerticalSpacing w:val="579"/>
  <w:noPunctuationKerning w:val="1"/>
  <w:characterSpacingControl w:val="compressPunctuation"/>
  <w:doNotValidateAgainstSchema/>
  <w:doNotDemarcateInvalidXml/>
  <w:hdrShapeDefaults>
    <o:shapelayout v:ext="edit">
      <o:idmap v:ext="edit" data="16,17"/>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E51"/>
    <w:rsid w:val="00000748"/>
    <w:rsid w:val="00000879"/>
    <w:rsid w:val="00001741"/>
    <w:rsid w:val="000019AB"/>
    <w:rsid w:val="0000221B"/>
    <w:rsid w:val="00007F08"/>
    <w:rsid w:val="00011538"/>
    <w:rsid w:val="00011595"/>
    <w:rsid w:val="00013318"/>
    <w:rsid w:val="00013D13"/>
    <w:rsid w:val="00016CD2"/>
    <w:rsid w:val="00016DF4"/>
    <w:rsid w:val="00017FE9"/>
    <w:rsid w:val="00021777"/>
    <w:rsid w:val="000234CD"/>
    <w:rsid w:val="000249B5"/>
    <w:rsid w:val="00024A76"/>
    <w:rsid w:val="00025421"/>
    <w:rsid w:val="00033709"/>
    <w:rsid w:val="0003377F"/>
    <w:rsid w:val="00041C4C"/>
    <w:rsid w:val="00043F63"/>
    <w:rsid w:val="00047B5B"/>
    <w:rsid w:val="00051FDE"/>
    <w:rsid w:val="0005264B"/>
    <w:rsid w:val="00054042"/>
    <w:rsid w:val="00054057"/>
    <w:rsid w:val="00055192"/>
    <w:rsid w:val="000558A9"/>
    <w:rsid w:val="000565AA"/>
    <w:rsid w:val="0006035E"/>
    <w:rsid w:val="000663DC"/>
    <w:rsid w:val="000675A6"/>
    <w:rsid w:val="00067A05"/>
    <w:rsid w:val="00071348"/>
    <w:rsid w:val="000766F7"/>
    <w:rsid w:val="00076C7D"/>
    <w:rsid w:val="00082BB5"/>
    <w:rsid w:val="0008417A"/>
    <w:rsid w:val="0008753F"/>
    <w:rsid w:val="00091344"/>
    <w:rsid w:val="00092CB8"/>
    <w:rsid w:val="00093517"/>
    <w:rsid w:val="00093992"/>
    <w:rsid w:val="0009494F"/>
    <w:rsid w:val="00097530"/>
    <w:rsid w:val="000A1296"/>
    <w:rsid w:val="000A7C45"/>
    <w:rsid w:val="000B2124"/>
    <w:rsid w:val="000B2B14"/>
    <w:rsid w:val="000C2BDF"/>
    <w:rsid w:val="000C4C6E"/>
    <w:rsid w:val="000C543B"/>
    <w:rsid w:val="000D2B70"/>
    <w:rsid w:val="000D2E4F"/>
    <w:rsid w:val="000E0574"/>
    <w:rsid w:val="000E126B"/>
    <w:rsid w:val="000E197E"/>
    <w:rsid w:val="000E2020"/>
    <w:rsid w:val="000E4AC2"/>
    <w:rsid w:val="000E4BDC"/>
    <w:rsid w:val="000E6899"/>
    <w:rsid w:val="000F04A9"/>
    <w:rsid w:val="000F0D0F"/>
    <w:rsid w:val="000F1491"/>
    <w:rsid w:val="000F1F14"/>
    <w:rsid w:val="000F2840"/>
    <w:rsid w:val="000F404B"/>
    <w:rsid w:val="000F4997"/>
    <w:rsid w:val="000F54B4"/>
    <w:rsid w:val="000F6A62"/>
    <w:rsid w:val="0010522F"/>
    <w:rsid w:val="00110BF9"/>
    <w:rsid w:val="00110E51"/>
    <w:rsid w:val="00111D75"/>
    <w:rsid w:val="001227CC"/>
    <w:rsid w:val="001246F2"/>
    <w:rsid w:val="0012725D"/>
    <w:rsid w:val="001331E4"/>
    <w:rsid w:val="001333A8"/>
    <w:rsid w:val="00133D97"/>
    <w:rsid w:val="00135322"/>
    <w:rsid w:val="001370CA"/>
    <w:rsid w:val="0015060E"/>
    <w:rsid w:val="00150716"/>
    <w:rsid w:val="00150929"/>
    <w:rsid w:val="0015196D"/>
    <w:rsid w:val="00151DA3"/>
    <w:rsid w:val="001554C4"/>
    <w:rsid w:val="00155AE3"/>
    <w:rsid w:val="00157BED"/>
    <w:rsid w:val="00160033"/>
    <w:rsid w:val="00160453"/>
    <w:rsid w:val="0016069D"/>
    <w:rsid w:val="001606EF"/>
    <w:rsid w:val="00160CBE"/>
    <w:rsid w:val="00161A69"/>
    <w:rsid w:val="001637FD"/>
    <w:rsid w:val="00167C1E"/>
    <w:rsid w:val="00171569"/>
    <w:rsid w:val="00171938"/>
    <w:rsid w:val="00171D43"/>
    <w:rsid w:val="00185FEF"/>
    <w:rsid w:val="001867E1"/>
    <w:rsid w:val="00186916"/>
    <w:rsid w:val="00187CE8"/>
    <w:rsid w:val="00192E95"/>
    <w:rsid w:val="001966A7"/>
    <w:rsid w:val="001A1F10"/>
    <w:rsid w:val="001A2223"/>
    <w:rsid w:val="001A25DC"/>
    <w:rsid w:val="001A6C52"/>
    <w:rsid w:val="001A7D83"/>
    <w:rsid w:val="001B0007"/>
    <w:rsid w:val="001B0E7E"/>
    <w:rsid w:val="001B283F"/>
    <w:rsid w:val="001B5B31"/>
    <w:rsid w:val="001C1721"/>
    <w:rsid w:val="001C1956"/>
    <w:rsid w:val="001C2333"/>
    <w:rsid w:val="001C42E1"/>
    <w:rsid w:val="001C697C"/>
    <w:rsid w:val="001C7634"/>
    <w:rsid w:val="001C7B00"/>
    <w:rsid w:val="001D01A2"/>
    <w:rsid w:val="001D0418"/>
    <w:rsid w:val="001D06B7"/>
    <w:rsid w:val="001D4F2B"/>
    <w:rsid w:val="001D6197"/>
    <w:rsid w:val="001E0672"/>
    <w:rsid w:val="001E2286"/>
    <w:rsid w:val="001E61D1"/>
    <w:rsid w:val="001E66B6"/>
    <w:rsid w:val="001E6CFA"/>
    <w:rsid w:val="001E7C3D"/>
    <w:rsid w:val="001F1DB5"/>
    <w:rsid w:val="001F47F7"/>
    <w:rsid w:val="001F6A1A"/>
    <w:rsid w:val="00200ACE"/>
    <w:rsid w:val="00202D6D"/>
    <w:rsid w:val="002036FF"/>
    <w:rsid w:val="00204432"/>
    <w:rsid w:val="00204A81"/>
    <w:rsid w:val="00207888"/>
    <w:rsid w:val="00210064"/>
    <w:rsid w:val="002137D8"/>
    <w:rsid w:val="00216E37"/>
    <w:rsid w:val="00221936"/>
    <w:rsid w:val="002231A1"/>
    <w:rsid w:val="00224F54"/>
    <w:rsid w:val="0022608A"/>
    <w:rsid w:val="00227036"/>
    <w:rsid w:val="0023041E"/>
    <w:rsid w:val="00232686"/>
    <w:rsid w:val="00233F97"/>
    <w:rsid w:val="00240CB9"/>
    <w:rsid w:val="0024167D"/>
    <w:rsid w:val="002461BB"/>
    <w:rsid w:val="002470BD"/>
    <w:rsid w:val="0025085D"/>
    <w:rsid w:val="002511B1"/>
    <w:rsid w:val="00251593"/>
    <w:rsid w:val="002519D3"/>
    <w:rsid w:val="00251A00"/>
    <w:rsid w:val="00252C2A"/>
    <w:rsid w:val="002535FE"/>
    <w:rsid w:val="0025478A"/>
    <w:rsid w:val="002547C8"/>
    <w:rsid w:val="002548F7"/>
    <w:rsid w:val="002572DC"/>
    <w:rsid w:val="00260B24"/>
    <w:rsid w:val="00261D27"/>
    <w:rsid w:val="00263BB4"/>
    <w:rsid w:val="00267622"/>
    <w:rsid w:val="00271FFE"/>
    <w:rsid w:val="00274AEE"/>
    <w:rsid w:val="00276834"/>
    <w:rsid w:val="002773AE"/>
    <w:rsid w:val="00280945"/>
    <w:rsid w:val="00282527"/>
    <w:rsid w:val="002825A4"/>
    <w:rsid w:val="00283477"/>
    <w:rsid w:val="0028493F"/>
    <w:rsid w:val="0029188E"/>
    <w:rsid w:val="00296FE9"/>
    <w:rsid w:val="002A2E82"/>
    <w:rsid w:val="002A52F2"/>
    <w:rsid w:val="002A5324"/>
    <w:rsid w:val="002A566E"/>
    <w:rsid w:val="002A5F70"/>
    <w:rsid w:val="002A7949"/>
    <w:rsid w:val="002B00B9"/>
    <w:rsid w:val="002B11B9"/>
    <w:rsid w:val="002B16B5"/>
    <w:rsid w:val="002B1A9E"/>
    <w:rsid w:val="002B1BC0"/>
    <w:rsid w:val="002B30F7"/>
    <w:rsid w:val="002B5F18"/>
    <w:rsid w:val="002B700B"/>
    <w:rsid w:val="002C09C5"/>
    <w:rsid w:val="002C2069"/>
    <w:rsid w:val="002C66B6"/>
    <w:rsid w:val="002D1C59"/>
    <w:rsid w:val="002D77B2"/>
    <w:rsid w:val="002E11F3"/>
    <w:rsid w:val="002E38F7"/>
    <w:rsid w:val="002E7925"/>
    <w:rsid w:val="002F2889"/>
    <w:rsid w:val="002F3507"/>
    <w:rsid w:val="002F3788"/>
    <w:rsid w:val="002F3832"/>
    <w:rsid w:val="002F522A"/>
    <w:rsid w:val="0030132B"/>
    <w:rsid w:val="0030373A"/>
    <w:rsid w:val="00306DFB"/>
    <w:rsid w:val="00307390"/>
    <w:rsid w:val="00307CDF"/>
    <w:rsid w:val="00313D82"/>
    <w:rsid w:val="003143A6"/>
    <w:rsid w:val="00316045"/>
    <w:rsid w:val="00321062"/>
    <w:rsid w:val="003244CD"/>
    <w:rsid w:val="00324D60"/>
    <w:rsid w:val="00326237"/>
    <w:rsid w:val="00330156"/>
    <w:rsid w:val="003306E4"/>
    <w:rsid w:val="00330C8D"/>
    <w:rsid w:val="0034017C"/>
    <w:rsid w:val="00344CA0"/>
    <w:rsid w:val="00347892"/>
    <w:rsid w:val="00351319"/>
    <w:rsid w:val="00351500"/>
    <w:rsid w:val="003515AE"/>
    <w:rsid w:val="0035324D"/>
    <w:rsid w:val="00357403"/>
    <w:rsid w:val="003623AF"/>
    <w:rsid w:val="00363F06"/>
    <w:rsid w:val="00364F00"/>
    <w:rsid w:val="003659AD"/>
    <w:rsid w:val="00366812"/>
    <w:rsid w:val="00372E11"/>
    <w:rsid w:val="00376A7B"/>
    <w:rsid w:val="00376F7D"/>
    <w:rsid w:val="0038076E"/>
    <w:rsid w:val="00382E71"/>
    <w:rsid w:val="00387F74"/>
    <w:rsid w:val="0039016E"/>
    <w:rsid w:val="003908C7"/>
    <w:rsid w:val="00390957"/>
    <w:rsid w:val="00390F36"/>
    <w:rsid w:val="003A047B"/>
    <w:rsid w:val="003A0713"/>
    <w:rsid w:val="003A30C4"/>
    <w:rsid w:val="003A5FB3"/>
    <w:rsid w:val="003B17C5"/>
    <w:rsid w:val="003B5A86"/>
    <w:rsid w:val="003B7365"/>
    <w:rsid w:val="003C1BBC"/>
    <w:rsid w:val="003C2B2D"/>
    <w:rsid w:val="003C3691"/>
    <w:rsid w:val="003C592E"/>
    <w:rsid w:val="003C5EAB"/>
    <w:rsid w:val="003D329E"/>
    <w:rsid w:val="003D37C2"/>
    <w:rsid w:val="003D4DA7"/>
    <w:rsid w:val="003D7077"/>
    <w:rsid w:val="003D7CF3"/>
    <w:rsid w:val="003E3292"/>
    <w:rsid w:val="003E3F1F"/>
    <w:rsid w:val="003E4438"/>
    <w:rsid w:val="003E5EF5"/>
    <w:rsid w:val="003E6EFC"/>
    <w:rsid w:val="003E7445"/>
    <w:rsid w:val="004046FB"/>
    <w:rsid w:val="00404FD7"/>
    <w:rsid w:val="00410997"/>
    <w:rsid w:val="004157D7"/>
    <w:rsid w:val="00420D76"/>
    <w:rsid w:val="0042146F"/>
    <w:rsid w:val="00421717"/>
    <w:rsid w:val="004226EC"/>
    <w:rsid w:val="00424631"/>
    <w:rsid w:val="00424D1D"/>
    <w:rsid w:val="00427051"/>
    <w:rsid w:val="00431779"/>
    <w:rsid w:val="0043214D"/>
    <w:rsid w:val="00434FB6"/>
    <w:rsid w:val="0043734F"/>
    <w:rsid w:val="00443E5C"/>
    <w:rsid w:val="00443FEC"/>
    <w:rsid w:val="00446D3C"/>
    <w:rsid w:val="00447869"/>
    <w:rsid w:val="004626F0"/>
    <w:rsid w:val="00463A91"/>
    <w:rsid w:val="004657E9"/>
    <w:rsid w:val="00466ED0"/>
    <w:rsid w:val="004728C6"/>
    <w:rsid w:val="00472A8E"/>
    <w:rsid w:val="004744D1"/>
    <w:rsid w:val="0047718A"/>
    <w:rsid w:val="00477AFB"/>
    <w:rsid w:val="00481E99"/>
    <w:rsid w:val="00483653"/>
    <w:rsid w:val="004854FD"/>
    <w:rsid w:val="004866C7"/>
    <w:rsid w:val="00486788"/>
    <w:rsid w:val="004870FE"/>
    <w:rsid w:val="004879D6"/>
    <w:rsid w:val="00490746"/>
    <w:rsid w:val="004938F6"/>
    <w:rsid w:val="004955C4"/>
    <w:rsid w:val="004967CC"/>
    <w:rsid w:val="0049698A"/>
    <w:rsid w:val="004A4D89"/>
    <w:rsid w:val="004A560E"/>
    <w:rsid w:val="004A661D"/>
    <w:rsid w:val="004A6C8C"/>
    <w:rsid w:val="004B1546"/>
    <w:rsid w:val="004B2656"/>
    <w:rsid w:val="004B4C4B"/>
    <w:rsid w:val="004B6A5E"/>
    <w:rsid w:val="004C2872"/>
    <w:rsid w:val="004C31A3"/>
    <w:rsid w:val="004C3764"/>
    <w:rsid w:val="004C3F38"/>
    <w:rsid w:val="004C4251"/>
    <w:rsid w:val="004C6ED9"/>
    <w:rsid w:val="004C74E5"/>
    <w:rsid w:val="004C7650"/>
    <w:rsid w:val="004C79D3"/>
    <w:rsid w:val="004D01D7"/>
    <w:rsid w:val="004D4912"/>
    <w:rsid w:val="004D4DA4"/>
    <w:rsid w:val="004E161E"/>
    <w:rsid w:val="004E1C34"/>
    <w:rsid w:val="004E2AF4"/>
    <w:rsid w:val="004E38BB"/>
    <w:rsid w:val="004E47E4"/>
    <w:rsid w:val="004E4DC8"/>
    <w:rsid w:val="004E7EE0"/>
    <w:rsid w:val="004F24AD"/>
    <w:rsid w:val="004F3ABF"/>
    <w:rsid w:val="00506741"/>
    <w:rsid w:val="0051059C"/>
    <w:rsid w:val="00511A14"/>
    <w:rsid w:val="005156F4"/>
    <w:rsid w:val="00517F7F"/>
    <w:rsid w:val="0052085A"/>
    <w:rsid w:val="00526A71"/>
    <w:rsid w:val="00526E39"/>
    <w:rsid w:val="00533275"/>
    <w:rsid w:val="005349E7"/>
    <w:rsid w:val="005352CD"/>
    <w:rsid w:val="00535871"/>
    <w:rsid w:val="00537F54"/>
    <w:rsid w:val="005454A1"/>
    <w:rsid w:val="005504CD"/>
    <w:rsid w:val="00550F95"/>
    <w:rsid w:val="0055128F"/>
    <w:rsid w:val="005526CB"/>
    <w:rsid w:val="00552A42"/>
    <w:rsid w:val="0055392E"/>
    <w:rsid w:val="00553DD2"/>
    <w:rsid w:val="00554ABB"/>
    <w:rsid w:val="00554E97"/>
    <w:rsid w:val="00555312"/>
    <w:rsid w:val="0055602B"/>
    <w:rsid w:val="005602FB"/>
    <w:rsid w:val="005620B1"/>
    <w:rsid w:val="00563227"/>
    <w:rsid w:val="00564069"/>
    <w:rsid w:val="00564D41"/>
    <w:rsid w:val="00570BC7"/>
    <w:rsid w:val="005839B4"/>
    <w:rsid w:val="005847F0"/>
    <w:rsid w:val="00585894"/>
    <w:rsid w:val="005868AE"/>
    <w:rsid w:val="00587117"/>
    <w:rsid w:val="005954C2"/>
    <w:rsid w:val="00595624"/>
    <w:rsid w:val="00596188"/>
    <w:rsid w:val="00597BF6"/>
    <w:rsid w:val="005A0D3A"/>
    <w:rsid w:val="005A1A05"/>
    <w:rsid w:val="005A4B8C"/>
    <w:rsid w:val="005A6CE7"/>
    <w:rsid w:val="005B0B39"/>
    <w:rsid w:val="005B2557"/>
    <w:rsid w:val="005B60CC"/>
    <w:rsid w:val="005B6632"/>
    <w:rsid w:val="005B68F3"/>
    <w:rsid w:val="005C0B87"/>
    <w:rsid w:val="005C64F6"/>
    <w:rsid w:val="005D0753"/>
    <w:rsid w:val="005D0A91"/>
    <w:rsid w:val="005D199D"/>
    <w:rsid w:val="005D5D62"/>
    <w:rsid w:val="005D70AA"/>
    <w:rsid w:val="005E0511"/>
    <w:rsid w:val="005E0547"/>
    <w:rsid w:val="005E0F33"/>
    <w:rsid w:val="005E28C0"/>
    <w:rsid w:val="005E3353"/>
    <w:rsid w:val="005F1E3A"/>
    <w:rsid w:val="005F770D"/>
    <w:rsid w:val="00602EF0"/>
    <w:rsid w:val="00604F30"/>
    <w:rsid w:val="00611C36"/>
    <w:rsid w:val="00611FED"/>
    <w:rsid w:val="00612182"/>
    <w:rsid w:val="00614D0B"/>
    <w:rsid w:val="00615912"/>
    <w:rsid w:val="0061594E"/>
    <w:rsid w:val="00615B9E"/>
    <w:rsid w:val="00620D00"/>
    <w:rsid w:val="006228C5"/>
    <w:rsid w:val="0062388C"/>
    <w:rsid w:val="00626D82"/>
    <w:rsid w:val="00627C8E"/>
    <w:rsid w:val="00631715"/>
    <w:rsid w:val="00634B23"/>
    <w:rsid w:val="00642447"/>
    <w:rsid w:val="006436F2"/>
    <w:rsid w:val="00643C38"/>
    <w:rsid w:val="00647ADA"/>
    <w:rsid w:val="00653137"/>
    <w:rsid w:val="00655137"/>
    <w:rsid w:val="00656377"/>
    <w:rsid w:val="00656EB7"/>
    <w:rsid w:val="006624E6"/>
    <w:rsid w:val="00663D5D"/>
    <w:rsid w:val="0067107E"/>
    <w:rsid w:val="00671F18"/>
    <w:rsid w:val="00673241"/>
    <w:rsid w:val="00673B75"/>
    <w:rsid w:val="0068016D"/>
    <w:rsid w:val="0068255A"/>
    <w:rsid w:val="00682EDC"/>
    <w:rsid w:val="00684520"/>
    <w:rsid w:val="00684E63"/>
    <w:rsid w:val="0068520A"/>
    <w:rsid w:val="00685E44"/>
    <w:rsid w:val="00685E7A"/>
    <w:rsid w:val="00687C72"/>
    <w:rsid w:val="00692A8B"/>
    <w:rsid w:val="006934FB"/>
    <w:rsid w:val="00694AFD"/>
    <w:rsid w:val="006950F1"/>
    <w:rsid w:val="0069635C"/>
    <w:rsid w:val="006970C0"/>
    <w:rsid w:val="006A06CB"/>
    <w:rsid w:val="006A33FD"/>
    <w:rsid w:val="006A5A12"/>
    <w:rsid w:val="006B237B"/>
    <w:rsid w:val="006B328F"/>
    <w:rsid w:val="006B596A"/>
    <w:rsid w:val="006B7FC3"/>
    <w:rsid w:val="006C18FC"/>
    <w:rsid w:val="006C2AE5"/>
    <w:rsid w:val="006C7467"/>
    <w:rsid w:val="006D1007"/>
    <w:rsid w:val="006D10C6"/>
    <w:rsid w:val="006D172D"/>
    <w:rsid w:val="006D36CE"/>
    <w:rsid w:val="006D6071"/>
    <w:rsid w:val="006D6CC3"/>
    <w:rsid w:val="006D72A0"/>
    <w:rsid w:val="006E2D6C"/>
    <w:rsid w:val="006E3EDA"/>
    <w:rsid w:val="006E4310"/>
    <w:rsid w:val="006E5AED"/>
    <w:rsid w:val="006E74EF"/>
    <w:rsid w:val="006E7DA6"/>
    <w:rsid w:val="006F0766"/>
    <w:rsid w:val="006F0B77"/>
    <w:rsid w:val="006F298A"/>
    <w:rsid w:val="006F2AAE"/>
    <w:rsid w:val="006F54B6"/>
    <w:rsid w:val="006F70D0"/>
    <w:rsid w:val="006F73F0"/>
    <w:rsid w:val="0070067E"/>
    <w:rsid w:val="00702071"/>
    <w:rsid w:val="007051E3"/>
    <w:rsid w:val="007079FB"/>
    <w:rsid w:val="007111E0"/>
    <w:rsid w:val="00712EA5"/>
    <w:rsid w:val="00715480"/>
    <w:rsid w:val="00715E60"/>
    <w:rsid w:val="0071672B"/>
    <w:rsid w:val="007216E0"/>
    <w:rsid w:val="007217F0"/>
    <w:rsid w:val="00722F32"/>
    <w:rsid w:val="007233D0"/>
    <w:rsid w:val="00732B26"/>
    <w:rsid w:val="00733855"/>
    <w:rsid w:val="0073582B"/>
    <w:rsid w:val="00735FFE"/>
    <w:rsid w:val="00736637"/>
    <w:rsid w:val="00736663"/>
    <w:rsid w:val="007371AB"/>
    <w:rsid w:val="007375EC"/>
    <w:rsid w:val="00737EFD"/>
    <w:rsid w:val="00742281"/>
    <w:rsid w:val="007447E7"/>
    <w:rsid w:val="0075258C"/>
    <w:rsid w:val="00756131"/>
    <w:rsid w:val="00757D2F"/>
    <w:rsid w:val="0076039D"/>
    <w:rsid w:val="007609E6"/>
    <w:rsid w:val="00763CDD"/>
    <w:rsid w:val="00764CB2"/>
    <w:rsid w:val="00764E7B"/>
    <w:rsid w:val="00764F50"/>
    <w:rsid w:val="00767829"/>
    <w:rsid w:val="00772EFE"/>
    <w:rsid w:val="00774017"/>
    <w:rsid w:val="007752D8"/>
    <w:rsid w:val="00776772"/>
    <w:rsid w:val="00777649"/>
    <w:rsid w:val="0077787A"/>
    <w:rsid w:val="00781ABE"/>
    <w:rsid w:val="00783558"/>
    <w:rsid w:val="00786388"/>
    <w:rsid w:val="007912DC"/>
    <w:rsid w:val="00793076"/>
    <w:rsid w:val="00796CB9"/>
    <w:rsid w:val="00796D0B"/>
    <w:rsid w:val="00796FF0"/>
    <w:rsid w:val="007A2B49"/>
    <w:rsid w:val="007A2F72"/>
    <w:rsid w:val="007A4846"/>
    <w:rsid w:val="007A5876"/>
    <w:rsid w:val="007B3D3B"/>
    <w:rsid w:val="007B55E2"/>
    <w:rsid w:val="007B6D07"/>
    <w:rsid w:val="007B774F"/>
    <w:rsid w:val="007B78E1"/>
    <w:rsid w:val="007C6A75"/>
    <w:rsid w:val="007D653F"/>
    <w:rsid w:val="007D72DB"/>
    <w:rsid w:val="007E1D2A"/>
    <w:rsid w:val="007E57F9"/>
    <w:rsid w:val="007F0A5E"/>
    <w:rsid w:val="007F0F4A"/>
    <w:rsid w:val="007F1521"/>
    <w:rsid w:val="007F4E1E"/>
    <w:rsid w:val="007F63A7"/>
    <w:rsid w:val="008049EA"/>
    <w:rsid w:val="008057E2"/>
    <w:rsid w:val="00811E21"/>
    <w:rsid w:val="00813C38"/>
    <w:rsid w:val="0081538B"/>
    <w:rsid w:val="008160D9"/>
    <w:rsid w:val="008202FE"/>
    <w:rsid w:val="00820B35"/>
    <w:rsid w:val="00821303"/>
    <w:rsid w:val="00830694"/>
    <w:rsid w:val="00831040"/>
    <w:rsid w:val="00841205"/>
    <w:rsid w:val="00841713"/>
    <w:rsid w:val="008419CF"/>
    <w:rsid w:val="00841BDE"/>
    <w:rsid w:val="00846691"/>
    <w:rsid w:val="00847192"/>
    <w:rsid w:val="00847F4D"/>
    <w:rsid w:val="008508BF"/>
    <w:rsid w:val="00853CDA"/>
    <w:rsid w:val="008577AF"/>
    <w:rsid w:val="00863FFD"/>
    <w:rsid w:val="00865FE3"/>
    <w:rsid w:val="00870E93"/>
    <w:rsid w:val="0087496B"/>
    <w:rsid w:val="0087634E"/>
    <w:rsid w:val="00877378"/>
    <w:rsid w:val="008817B4"/>
    <w:rsid w:val="0088197D"/>
    <w:rsid w:val="0088410D"/>
    <w:rsid w:val="00884FE8"/>
    <w:rsid w:val="008864B2"/>
    <w:rsid w:val="008865DE"/>
    <w:rsid w:val="00891888"/>
    <w:rsid w:val="00893758"/>
    <w:rsid w:val="0089402B"/>
    <w:rsid w:val="0089732E"/>
    <w:rsid w:val="008A3BD5"/>
    <w:rsid w:val="008A63CB"/>
    <w:rsid w:val="008A70A2"/>
    <w:rsid w:val="008A7A33"/>
    <w:rsid w:val="008B6697"/>
    <w:rsid w:val="008C04DB"/>
    <w:rsid w:val="008C10AD"/>
    <w:rsid w:val="008C1A7C"/>
    <w:rsid w:val="008C31D2"/>
    <w:rsid w:val="008C372D"/>
    <w:rsid w:val="008C38D3"/>
    <w:rsid w:val="008C4E98"/>
    <w:rsid w:val="008C57A0"/>
    <w:rsid w:val="008C76A1"/>
    <w:rsid w:val="008C7DEB"/>
    <w:rsid w:val="008D2E44"/>
    <w:rsid w:val="008D6447"/>
    <w:rsid w:val="008D6D90"/>
    <w:rsid w:val="008E180F"/>
    <w:rsid w:val="008E1DFB"/>
    <w:rsid w:val="008E2D4D"/>
    <w:rsid w:val="008E441B"/>
    <w:rsid w:val="008E5819"/>
    <w:rsid w:val="008F19E5"/>
    <w:rsid w:val="008F2008"/>
    <w:rsid w:val="008F3CD1"/>
    <w:rsid w:val="008F634A"/>
    <w:rsid w:val="0090082B"/>
    <w:rsid w:val="00902495"/>
    <w:rsid w:val="00903089"/>
    <w:rsid w:val="00907282"/>
    <w:rsid w:val="00907298"/>
    <w:rsid w:val="0091026E"/>
    <w:rsid w:val="009129FB"/>
    <w:rsid w:val="00912A60"/>
    <w:rsid w:val="0091352F"/>
    <w:rsid w:val="00913F6B"/>
    <w:rsid w:val="00913FC5"/>
    <w:rsid w:val="0092670B"/>
    <w:rsid w:val="009302D7"/>
    <w:rsid w:val="009329F7"/>
    <w:rsid w:val="00932A47"/>
    <w:rsid w:val="00935717"/>
    <w:rsid w:val="00935BC8"/>
    <w:rsid w:val="00937D09"/>
    <w:rsid w:val="0094091F"/>
    <w:rsid w:val="009410B6"/>
    <w:rsid w:val="009426C6"/>
    <w:rsid w:val="009440E9"/>
    <w:rsid w:val="00946598"/>
    <w:rsid w:val="0094751D"/>
    <w:rsid w:val="00951D17"/>
    <w:rsid w:val="00953B10"/>
    <w:rsid w:val="009548A4"/>
    <w:rsid w:val="0095596C"/>
    <w:rsid w:val="00962305"/>
    <w:rsid w:val="00963030"/>
    <w:rsid w:val="00963913"/>
    <w:rsid w:val="00967D43"/>
    <w:rsid w:val="00970978"/>
    <w:rsid w:val="00971211"/>
    <w:rsid w:val="00971694"/>
    <w:rsid w:val="00974EDF"/>
    <w:rsid w:val="00976647"/>
    <w:rsid w:val="00980A11"/>
    <w:rsid w:val="00983E08"/>
    <w:rsid w:val="00987DF0"/>
    <w:rsid w:val="009906CD"/>
    <w:rsid w:val="00993851"/>
    <w:rsid w:val="00993D53"/>
    <w:rsid w:val="009A089D"/>
    <w:rsid w:val="009A14D7"/>
    <w:rsid w:val="009A3B97"/>
    <w:rsid w:val="009A55AC"/>
    <w:rsid w:val="009A62B2"/>
    <w:rsid w:val="009A7C0F"/>
    <w:rsid w:val="009B0243"/>
    <w:rsid w:val="009B179F"/>
    <w:rsid w:val="009B1C77"/>
    <w:rsid w:val="009B2B3B"/>
    <w:rsid w:val="009B372D"/>
    <w:rsid w:val="009B3C27"/>
    <w:rsid w:val="009B5490"/>
    <w:rsid w:val="009D03E2"/>
    <w:rsid w:val="009D0D20"/>
    <w:rsid w:val="009D29B5"/>
    <w:rsid w:val="009D448A"/>
    <w:rsid w:val="009D4A4D"/>
    <w:rsid w:val="009D4CA2"/>
    <w:rsid w:val="009D594C"/>
    <w:rsid w:val="009D5DE4"/>
    <w:rsid w:val="009D78BF"/>
    <w:rsid w:val="009E049A"/>
    <w:rsid w:val="009E106F"/>
    <w:rsid w:val="009E1118"/>
    <w:rsid w:val="009E1621"/>
    <w:rsid w:val="009E4542"/>
    <w:rsid w:val="009E5CFB"/>
    <w:rsid w:val="009E70CC"/>
    <w:rsid w:val="009F0A68"/>
    <w:rsid w:val="009F1C13"/>
    <w:rsid w:val="009F36EA"/>
    <w:rsid w:val="009F70C5"/>
    <w:rsid w:val="009F7D8F"/>
    <w:rsid w:val="00A01DFA"/>
    <w:rsid w:val="00A10777"/>
    <w:rsid w:val="00A10F3B"/>
    <w:rsid w:val="00A12BB6"/>
    <w:rsid w:val="00A13645"/>
    <w:rsid w:val="00A15EA0"/>
    <w:rsid w:val="00A16F83"/>
    <w:rsid w:val="00A21D36"/>
    <w:rsid w:val="00A22A27"/>
    <w:rsid w:val="00A33CDC"/>
    <w:rsid w:val="00A33F35"/>
    <w:rsid w:val="00A34397"/>
    <w:rsid w:val="00A36874"/>
    <w:rsid w:val="00A404F1"/>
    <w:rsid w:val="00A446BA"/>
    <w:rsid w:val="00A45D46"/>
    <w:rsid w:val="00A45ED2"/>
    <w:rsid w:val="00A46AD4"/>
    <w:rsid w:val="00A46D95"/>
    <w:rsid w:val="00A47211"/>
    <w:rsid w:val="00A473DD"/>
    <w:rsid w:val="00A519C2"/>
    <w:rsid w:val="00A5669E"/>
    <w:rsid w:val="00A56C0E"/>
    <w:rsid w:val="00A57D5A"/>
    <w:rsid w:val="00A60188"/>
    <w:rsid w:val="00A61B86"/>
    <w:rsid w:val="00A61D65"/>
    <w:rsid w:val="00A62837"/>
    <w:rsid w:val="00A62FA5"/>
    <w:rsid w:val="00A65E31"/>
    <w:rsid w:val="00A727F0"/>
    <w:rsid w:val="00A74BA1"/>
    <w:rsid w:val="00A76E80"/>
    <w:rsid w:val="00A80DB5"/>
    <w:rsid w:val="00A8140C"/>
    <w:rsid w:val="00A82810"/>
    <w:rsid w:val="00A85679"/>
    <w:rsid w:val="00A87A8C"/>
    <w:rsid w:val="00A90C0D"/>
    <w:rsid w:val="00A92DD5"/>
    <w:rsid w:val="00A9409C"/>
    <w:rsid w:val="00A975BD"/>
    <w:rsid w:val="00AA08D8"/>
    <w:rsid w:val="00AA3470"/>
    <w:rsid w:val="00AA53EC"/>
    <w:rsid w:val="00AB01E5"/>
    <w:rsid w:val="00AB2E93"/>
    <w:rsid w:val="00AB5D28"/>
    <w:rsid w:val="00AC0A36"/>
    <w:rsid w:val="00AC1FC2"/>
    <w:rsid w:val="00AC31B2"/>
    <w:rsid w:val="00AC4781"/>
    <w:rsid w:val="00AC564B"/>
    <w:rsid w:val="00AD07C8"/>
    <w:rsid w:val="00AD24F8"/>
    <w:rsid w:val="00AD31B9"/>
    <w:rsid w:val="00AD48C2"/>
    <w:rsid w:val="00AD67D7"/>
    <w:rsid w:val="00AD6AAC"/>
    <w:rsid w:val="00AE0AA3"/>
    <w:rsid w:val="00AE0E08"/>
    <w:rsid w:val="00AE6B97"/>
    <w:rsid w:val="00AE6DE0"/>
    <w:rsid w:val="00AF245C"/>
    <w:rsid w:val="00AF4609"/>
    <w:rsid w:val="00AF556C"/>
    <w:rsid w:val="00AF7A07"/>
    <w:rsid w:val="00B01E62"/>
    <w:rsid w:val="00B03576"/>
    <w:rsid w:val="00B0496D"/>
    <w:rsid w:val="00B06319"/>
    <w:rsid w:val="00B0663F"/>
    <w:rsid w:val="00B10B76"/>
    <w:rsid w:val="00B11FD6"/>
    <w:rsid w:val="00B14189"/>
    <w:rsid w:val="00B15AB8"/>
    <w:rsid w:val="00B15DE5"/>
    <w:rsid w:val="00B1639A"/>
    <w:rsid w:val="00B2019D"/>
    <w:rsid w:val="00B20432"/>
    <w:rsid w:val="00B21EEC"/>
    <w:rsid w:val="00B234F1"/>
    <w:rsid w:val="00B24E60"/>
    <w:rsid w:val="00B27457"/>
    <w:rsid w:val="00B319DC"/>
    <w:rsid w:val="00B31EBA"/>
    <w:rsid w:val="00B334A9"/>
    <w:rsid w:val="00B339E1"/>
    <w:rsid w:val="00B35B25"/>
    <w:rsid w:val="00B3685E"/>
    <w:rsid w:val="00B41FED"/>
    <w:rsid w:val="00B4363A"/>
    <w:rsid w:val="00B4588C"/>
    <w:rsid w:val="00B45A09"/>
    <w:rsid w:val="00B463F9"/>
    <w:rsid w:val="00B46E36"/>
    <w:rsid w:val="00B46F5F"/>
    <w:rsid w:val="00B5211A"/>
    <w:rsid w:val="00B541C4"/>
    <w:rsid w:val="00B56613"/>
    <w:rsid w:val="00B57321"/>
    <w:rsid w:val="00B61380"/>
    <w:rsid w:val="00B615E9"/>
    <w:rsid w:val="00B61BFA"/>
    <w:rsid w:val="00B6252F"/>
    <w:rsid w:val="00B62C6E"/>
    <w:rsid w:val="00B637BF"/>
    <w:rsid w:val="00B6381A"/>
    <w:rsid w:val="00B64B5C"/>
    <w:rsid w:val="00B655A0"/>
    <w:rsid w:val="00B66F82"/>
    <w:rsid w:val="00B6723B"/>
    <w:rsid w:val="00B705EC"/>
    <w:rsid w:val="00B73A5C"/>
    <w:rsid w:val="00B74143"/>
    <w:rsid w:val="00B77F65"/>
    <w:rsid w:val="00B83C0C"/>
    <w:rsid w:val="00B84A0C"/>
    <w:rsid w:val="00B84F24"/>
    <w:rsid w:val="00B93F98"/>
    <w:rsid w:val="00B941FB"/>
    <w:rsid w:val="00B96959"/>
    <w:rsid w:val="00BA139D"/>
    <w:rsid w:val="00BA4525"/>
    <w:rsid w:val="00BA52BE"/>
    <w:rsid w:val="00BA6E1D"/>
    <w:rsid w:val="00BA79CE"/>
    <w:rsid w:val="00BA7E82"/>
    <w:rsid w:val="00BB1486"/>
    <w:rsid w:val="00BB1D89"/>
    <w:rsid w:val="00BB236F"/>
    <w:rsid w:val="00BB50A1"/>
    <w:rsid w:val="00BB7D5F"/>
    <w:rsid w:val="00BC7645"/>
    <w:rsid w:val="00BC7720"/>
    <w:rsid w:val="00BC7736"/>
    <w:rsid w:val="00BD0476"/>
    <w:rsid w:val="00BD1697"/>
    <w:rsid w:val="00BD1A6A"/>
    <w:rsid w:val="00BD3EB2"/>
    <w:rsid w:val="00BD4621"/>
    <w:rsid w:val="00BD497D"/>
    <w:rsid w:val="00BE2407"/>
    <w:rsid w:val="00BE2D4F"/>
    <w:rsid w:val="00BE319A"/>
    <w:rsid w:val="00BE4CC3"/>
    <w:rsid w:val="00BE5098"/>
    <w:rsid w:val="00BE5427"/>
    <w:rsid w:val="00BE77A9"/>
    <w:rsid w:val="00BF0B06"/>
    <w:rsid w:val="00BF2B65"/>
    <w:rsid w:val="00BF3466"/>
    <w:rsid w:val="00BF4EBF"/>
    <w:rsid w:val="00BF5123"/>
    <w:rsid w:val="00C00195"/>
    <w:rsid w:val="00C0029F"/>
    <w:rsid w:val="00C020E1"/>
    <w:rsid w:val="00C04119"/>
    <w:rsid w:val="00C04388"/>
    <w:rsid w:val="00C110A4"/>
    <w:rsid w:val="00C11B4F"/>
    <w:rsid w:val="00C13DA4"/>
    <w:rsid w:val="00C142DE"/>
    <w:rsid w:val="00C151FC"/>
    <w:rsid w:val="00C179BA"/>
    <w:rsid w:val="00C2298F"/>
    <w:rsid w:val="00C250A8"/>
    <w:rsid w:val="00C25E97"/>
    <w:rsid w:val="00C261DA"/>
    <w:rsid w:val="00C3115E"/>
    <w:rsid w:val="00C3256E"/>
    <w:rsid w:val="00C3391B"/>
    <w:rsid w:val="00C3664F"/>
    <w:rsid w:val="00C37D19"/>
    <w:rsid w:val="00C41B18"/>
    <w:rsid w:val="00C41C06"/>
    <w:rsid w:val="00C432E4"/>
    <w:rsid w:val="00C43D88"/>
    <w:rsid w:val="00C4473E"/>
    <w:rsid w:val="00C45A79"/>
    <w:rsid w:val="00C5149C"/>
    <w:rsid w:val="00C53391"/>
    <w:rsid w:val="00C536FB"/>
    <w:rsid w:val="00C546E2"/>
    <w:rsid w:val="00C54FF1"/>
    <w:rsid w:val="00C5698F"/>
    <w:rsid w:val="00C57B06"/>
    <w:rsid w:val="00C57DD0"/>
    <w:rsid w:val="00C631A4"/>
    <w:rsid w:val="00C65976"/>
    <w:rsid w:val="00C66A1A"/>
    <w:rsid w:val="00C71D3D"/>
    <w:rsid w:val="00C722B4"/>
    <w:rsid w:val="00C72EA8"/>
    <w:rsid w:val="00C76705"/>
    <w:rsid w:val="00C80226"/>
    <w:rsid w:val="00C82C4F"/>
    <w:rsid w:val="00C84063"/>
    <w:rsid w:val="00C86BDB"/>
    <w:rsid w:val="00C86D58"/>
    <w:rsid w:val="00C91690"/>
    <w:rsid w:val="00C91DBE"/>
    <w:rsid w:val="00C948A1"/>
    <w:rsid w:val="00C95A1F"/>
    <w:rsid w:val="00C96B99"/>
    <w:rsid w:val="00CA17D2"/>
    <w:rsid w:val="00CA1FE2"/>
    <w:rsid w:val="00CA3456"/>
    <w:rsid w:val="00CA37D3"/>
    <w:rsid w:val="00CA40F4"/>
    <w:rsid w:val="00CA418B"/>
    <w:rsid w:val="00CB05A5"/>
    <w:rsid w:val="00CB0643"/>
    <w:rsid w:val="00CB1366"/>
    <w:rsid w:val="00CB1765"/>
    <w:rsid w:val="00CB30A7"/>
    <w:rsid w:val="00CB54C7"/>
    <w:rsid w:val="00CB7834"/>
    <w:rsid w:val="00CB7CF1"/>
    <w:rsid w:val="00CD02C6"/>
    <w:rsid w:val="00CD0A2A"/>
    <w:rsid w:val="00CD161A"/>
    <w:rsid w:val="00CD306B"/>
    <w:rsid w:val="00CD3F32"/>
    <w:rsid w:val="00CD3F3D"/>
    <w:rsid w:val="00CD4A89"/>
    <w:rsid w:val="00CD59DB"/>
    <w:rsid w:val="00CD6402"/>
    <w:rsid w:val="00CE0982"/>
    <w:rsid w:val="00CE0B58"/>
    <w:rsid w:val="00CE1A49"/>
    <w:rsid w:val="00CE439D"/>
    <w:rsid w:val="00CE4F1D"/>
    <w:rsid w:val="00CE57E6"/>
    <w:rsid w:val="00CE79CD"/>
    <w:rsid w:val="00CF2253"/>
    <w:rsid w:val="00CF4257"/>
    <w:rsid w:val="00CF5E49"/>
    <w:rsid w:val="00CF658D"/>
    <w:rsid w:val="00CF6EE3"/>
    <w:rsid w:val="00CF7496"/>
    <w:rsid w:val="00D016EF"/>
    <w:rsid w:val="00D03BDA"/>
    <w:rsid w:val="00D05F61"/>
    <w:rsid w:val="00D1595B"/>
    <w:rsid w:val="00D15FE8"/>
    <w:rsid w:val="00D16BA0"/>
    <w:rsid w:val="00D23795"/>
    <w:rsid w:val="00D271D0"/>
    <w:rsid w:val="00D276B7"/>
    <w:rsid w:val="00D315CA"/>
    <w:rsid w:val="00D31B98"/>
    <w:rsid w:val="00D31D69"/>
    <w:rsid w:val="00D3244A"/>
    <w:rsid w:val="00D32616"/>
    <w:rsid w:val="00D410DD"/>
    <w:rsid w:val="00D4485A"/>
    <w:rsid w:val="00D449D5"/>
    <w:rsid w:val="00D44E4E"/>
    <w:rsid w:val="00D4770C"/>
    <w:rsid w:val="00D47F62"/>
    <w:rsid w:val="00D51EA7"/>
    <w:rsid w:val="00D54DC5"/>
    <w:rsid w:val="00D570AB"/>
    <w:rsid w:val="00D6025C"/>
    <w:rsid w:val="00D60CC6"/>
    <w:rsid w:val="00D63189"/>
    <w:rsid w:val="00D6363D"/>
    <w:rsid w:val="00D63BBC"/>
    <w:rsid w:val="00D64E09"/>
    <w:rsid w:val="00D65CCE"/>
    <w:rsid w:val="00D67EFB"/>
    <w:rsid w:val="00D70154"/>
    <w:rsid w:val="00D74A26"/>
    <w:rsid w:val="00D754EF"/>
    <w:rsid w:val="00D75B5B"/>
    <w:rsid w:val="00D76E1C"/>
    <w:rsid w:val="00D77130"/>
    <w:rsid w:val="00D7782C"/>
    <w:rsid w:val="00D820A4"/>
    <w:rsid w:val="00D823D9"/>
    <w:rsid w:val="00D8337A"/>
    <w:rsid w:val="00D84F8A"/>
    <w:rsid w:val="00D86B3F"/>
    <w:rsid w:val="00D90D60"/>
    <w:rsid w:val="00D90EB6"/>
    <w:rsid w:val="00D9176B"/>
    <w:rsid w:val="00D91B87"/>
    <w:rsid w:val="00D92255"/>
    <w:rsid w:val="00D932C7"/>
    <w:rsid w:val="00D93FCD"/>
    <w:rsid w:val="00D940BE"/>
    <w:rsid w:val="00D97B7F"/>
    <w:rsid w:val="00DA0030"/>
    <w:rsid w:val="00DA008A"/>
    <w:rsid w:val="00DA1D21"/>
    <w:rsid w:val="00DA4CF4"/>
    <w:rsid w:val="00DB1816"/>
    <w:rsid w:val="00DB206F"/>
    <w:rsid w:val="00DB2935"/>
    <w:rsid w:val="00DB40AD"/>
    <w:rsid w:val="00DB59E6"/>
    <w:rsid w:val="00DB5A23"/>
    <w:rsid w:val="00DB7124"/>
    <w:rsid w:val="00DC336B"/>
    <w:rsid w:val="00DC3FF9"/>
    <w:rsid w:val="00DC4E21"/>
    <w:rsid w:val="00DC7126"/>
    <w:rsid w:val="00DC7382"/>
    <w:rsid w:val="00DD27B0"/>
    <w:rsid w:val="00DD3EC6"/>
    <w:rsid w:val="00DD4EF0"/>
    <w:rsid w:val="00DD566D"/>
    <w:rsid w:val="00DE0B00"/>
    <w:rsid w:val="00DE0F01"/>
    <w:rsid w:val="00DE15AF"/>
    <w:rsid w:val="00DE6F21"/>
    <w:rsid w:val="00DE7465"/>
    <w:rsid w:val="00DF01F3"/>
    <w:rsid w:val="00DF031A"/>
    <w:rsid w:val="00DF0A28"/>
    <w:rsid w:val="00DF5442"/>
    <w:rsid w:val="00DF552B"/>
    <w:rsid w:val="00DF6E94"/>
    <w:rsid w:val="00E01E04"/>
    <w:rsid w:val="00E06235"/>
    <w:rsid w:val="00E06602"/>
    <w:rsid w:val="00E10127"/>
    <w:rsid w:val="00E10991"/>
    <w:rsid w:val="00E11C2A"/>
    <w:rsid w:val="00E1204F"/>
    <w:rsid w:val="00E1247F"/>
    <w:rsid w:val="00E12FA9"/>
    <w:rsid w:val="00E13C06"/>
    <w:rsid w:val="00E14DF7"/>
    <w:rsid w:val="00E206C2"/>
    <w:rsid w:val="00E24897"/>
    <w:rsid w:val="00E254CA"/>
    <w:rsid w:val="00E27598"/>
    <w:rsid w:val="00E30EC9"/>
    <w:rsid w:val="00E345C3"/>
    <w:rsid w:val="00E3781C"/>
    <w:rsid w:val="00E40E9D"/>
    <w:rsid w:val="00E4284C"/>
    <w:rsid w:val="00E44D3F"/>
    <w:rsid w:val="00E46C89"/>
    <w:rsid w:val="00E51732"/>
    <w:rsid w:val="00E51B05"/>
    <w:rsid w:val="00E51E9E"/>
    <w:rsid w:val="00E57312"/>
    <w:rsid w:val="00E60540"/>
    <w:rsid w:val="00E61359"/>
    <w:rsid w:val="00E65707"/>
    <w:rsid w:val="00E66A0B"/>
    <w:rsid w:val="00E70118"/>
    <w:rsid w:val="00E74399"/>
    <w:rsid w:val="00E76E9A"/>
    <w:rsid w:val="00E85DAA"/>
    <w:rsid w:val="00E87AB7"/>
    <w:rsid w:val="00E9056B"/>
    <w:rsid w:val="00E9337C"/>
    <w:rsid w:val="00E94868"/>
    <w:rsid w:val="00E9501E"/>
    <w:rsid w:val="00EA3727"/>
    <w:rsid w:val="00EA45ED"/>
    <w:rsid w:val="00EA6C17"/>
    <w:rsid w:val="00EA7792"/>
    <w:rsid w:val="00EB02C5"/>
    <w:rsid w:val="00EB180C"/>
    <w:rsid w:val="00EB31DD"/>
    <w:rsid w:val="00EB4577"/>
    <w:rsid w:val="00EB4776"/>
    <w:rsid w:val="00EB5A51"/>
    <w:rsid w:val="00EB69CB"/>
    <w:rsid w:val="00EC27EC"/>
    <w:rsid w:val="00EC6F5D"/>
    <w:rsid w:val="00EC7D38"/>
    <w:rsid w:val="00ED01C9"/>
    <w:rsid w:val="00ED029E"/>
    <w:rsid w:val="00ED3C9B"/>
    <w:rsid w:val="00ED61F1"/>
    <w:rsid w:val="00EE260B"/>
    <w:rsid w:val="00EE2BBD"/>
    <w:rsid w:val="00EE3E7D"/>
    <w:rsid w:val="00EE3E8D"/>
    <w:rsid w:val="00EF3395"/>
    <w:rsid w:val="00EF370B"/>
    <w:rsid w:val="00EF48F7"/>
    <w:rsid w:val="00EF49C1"/>
    <w:rsid w:val="00EF68A6"/>
    <w:rsid w:val="00EF6EAC"/>
    <w:rsid w:val="00F01B5F"/>
    <w:rsid w:val="00F030FD"/>
    <w:rsid w:val="00F03A15"/>
    <w:rsid w:val="00F041B7"/>
    <w:rsid w:val="00F07DDD"/>
    <w:rsid w:val="00F10FF7"/>
    <w:rsid w:val="00F12BBF"/>
    <w:rsid w:val="00F13960"/>
    <w:rsid w:val="00F13B72"/>
    <w:rsid w:val="00F14239"/>
    <w:rsid w:val="00F14EFA"/>
    <w:rsid w:val="00F15E29"/>
    <w:rsid w:val="00F17453"/>
    <w:rsid w:val="00F201CE"/>
    <w:rsid w:val="00F22FE4"/>
    <w:rsid w:val="00F24572"/>
    <w:rsid w:val="00F24E16"/>
    <w:rsid w:val="00F3008E"/>
    <w:rsid w:val="00F366D0"/>
    <w:rsid w:val="00F372BC"/>
    <w:rsid w:val="00F4034A"/>
    <w:rsid w:val="00F4091A"/>
    <w:rsid w:val="00F40C5C"/>
    <w:rsid w:val="00F443EF"/>
    <w:rsid w:val="00F45C99"/>
    <w:rsid w:val="00F5103B"/>
    <w:rsid w:val="00F5152A"/>
    <w:rsid w:val="00F53A4E"/>
    <w:rsid w:val="00F60040"/>
    <w:rsid w:val="00F63C5A"/>
    <w:rsid w:val="00F64ADA"/>
    <w:rsid w:val="00F70059"/>
    <w:rsid w:val="00F7326D"/>
    <w:rsid w:val="00F7630B"/>
    <w:rsid w:val="00F76C06"/>
    <w:rsid w:val="00F77073"/>
    <w:rsid w:val="00F82111"/>
    <w:rsid w:val="00F825BD"/>
    <w:rsid w:val="00F840C4"/>
    <w:rsid w:val="00F86391"/>
    <w:rsid w:val="00F91448"/>
    <w:rsid w:val="00F9263C"/>
    <w:rsid w:val="00F92B49"/>
    <w:rsid w:val="00F92E03"/>
    <w:rsid w:val="00F94125"/>
    <w:rsid w:val="00F96589"/>
    <w:rsid w:val="00F967FB"/>
    <w:rsid w:val="00FA42C0"/>
    <w:rsid w:val="00FA5817"/>
    <w:rsid w:val="00FA7B1D"/>
    <w:rsid w:val="00FB1A49"/>
    <w:rsid w:val="00FB2A3F"/>
    <w:rsid w:val="00FB31AC"/>
    <w:rsid w:val="00FB4FA7"/>
    <w:rsid w:val="00FB544D"/>
    <w:rsid w:val="00FB5CC4"/>
    <w:rsid w:val="00FC0F91"/>
    <w:rsid w:val="00FC13D9"/>
    <w:rsid w:val="00FC29D3"/>
    <w:rsid w:val="00FC37A0"/>
    <w:rsid w:val="00FC4ACD"/>
    <w:rsid w:val="00FC5F39"/>
    <w:rsid w:val="00FD0313"/>
    <w:rsid w:val="00FD5BB1"/>
    <w:rsid w:val="00FD6B09"/>
    <w:rsid w:val="00FE1C99"/>
    <w:rsid w:val="00FE2CD1"/>
    <w:rsid w:val="00FE731E"/>
    <w:rsid w:val="00FE7C81"/>
    <w:rsid w:val="00FF1048"/>
    <w:rsid w:val="00FF2842"/>
    <w:rsid w:val="00FF287C"/>
    <w:rsid w:val="00FF294A"/>
    <w:rsid w:val="00FF3B5C"/>
    <w:rsid w:val="015D7FE4"/>
    <w:rsid w:val="022A215E"/>
    <w:rsid w:val="02702E6F"/>
    <w:rsid w:val="03D030D1"/>
    <w:rsid w:val="03F74C55"/>
    <w:rsid w:val="0550270D"/>
    <w:rsid w:val="069C7492"/>
    <w:rsid w:val="06FD040D"/>
    <w:rsid w:val="06FD5237"/>
    <w:rsid w:val="0792217F"/>
    <w:rsid w:val="08676567"/>
    <w:rsid w:val="08A17543"/>
    <w:rsid w:val="09BE593B"/>
    <w:rsid w:val="0CC71BD4"/>
    <w:rsid w:val="0D25301E"/>
    <w:rsid w:val="0DD63B3B"/>
    <w:rsid w:val="0E7E42D4"/>
    <w:rsid w:val="0EBA365A"/>
    <w:rsid w:val="0EDB2BA7"/>
    <w:rsid w:val="0F090750"/>
    <w:rsid w:val="0F450612"/>
    <w:rsid w:val="0F6972E6"/>
    <w:rsid w:val="0FC719CD"/>
    <w:rsid w:val="108A351F"/>
    <w:rsid w:val="11360E5D"/>
    <w:rsid w:val="134A55AC"/>
    <w:rsid w:val="13C11534"/>
    <w:rsid w:val="16386133"/>
    <w:rsid w:val="16AB3E9C"/>
    <w:rsid w:val="177B04EC"/>
    <w:rsid w:val="18F142DC"/>
    <w:rsid w:val="197D1882"/>
    <w:rsid w:val="1A151CE4"/>
    <w:rsid w:val="1DBD7014"/>
    <w:rsid w:val="1E3513E3"/>
    <w:rsid w:val="1E8A0CEA"/>
    <w:rsid w:val="2043368A"/>
    <w:rsid w:val="20F7065E"/>
    <w:rsid w:val="22065B63"/>
    <w:rsid w:val="2260291C"/>
    <w:rsid w:val="22D530DA"/>
    <w:rsid w:val="23F84414"/>
    <w:rsid w:val="241365CA"/>
    <w:rsid w:val="242930ED"/>
    <w:rsid w:val="2520602E"/>
    <w:rsid w:val="25395459"/>
    <w:rsid w:val="25AA7624"/>
    <w:rsid w:val="27EC6B48"/>
    <w:rsid w:val="283D28AB"/>
    <w:rsid w:val="284F6093"/>
    <w:rsid w:val="298136AA"/>
    <w:rsid w:val="2B1F39BC"/>
    <w:rsid w:val="2B967365"/>
    <w:rsid w:val="2CD17B83"/>
    <w:rsid w:val="2FDA7979"/>
    <w:rsid w:val="2FE31C80"/>
    <w:rsid w:val="303E2986"/>
    <w:rsid w:val="31757E4C"/>
    <w:rsid w:val="31D9307B"/>
    <w:rsid w:val="31F329AB"/>
    <w:rsid w:val="32D34969"/>
    <w:rsid w:val="342C173B"/>
    <w:rsid w:val="344E505C"/>
    <w:rsid w:val="375229F1"/>
    <w:rsid w:val="378D59A0"/>
    <w:rsid w:val="37ED6E64"/>
    <w:rsid w:val="38805DE4"/>
    <w:rsid w:val="399A12FD"/>
    <w:rsid w:val="3AF25E82"/>
    <w:rsid w:val="3B2E1509"/>
    <w:rsid w:val="3B325400"/>
    <w:rsid w:val="3BC8779E"/>
    <w:rsid w:val="3BF4687E"/>
    <w:rsid w:val="3C843E5F"/>
    <w:rsid w:val="3CE64D81"/>
    <w:rsid w:val="402B592A"/>
    <w:rsid w:val="40457E1D"/>
    <w:rsid w:val="405D74F4"/>
    <w:rsid w:val="409B5B2A"/>
    <w:rsid w:val="41B71418"/>
    <w:rsid w:val="41E52907"/>
    <w:rsid w:val="41FF00CD"/>
    <w:rsid w:val="42214DB6"/>
    <w:rsid w:val="424C74FD"/>
    <w:rsid w:val="43B12EBF"/>
    <w:rsid w:val="43C1637B"/>
    <w:rsid w:val="441E30BE"/>
    <w:rsid w:val="44386FFB"/>
    <w:rsid w:val="44F040F1"/>
    <w:rsid w:val="47F83B21"/>
    <w:rsid w:val="493A2AE5"/>
    <w:rsid w:val="49A73895"/>
    <w:rsid w:val="49B12C50"/>
    <w:rsid w:val="4A480792"/>
    <w:rsid w:val="4ACD3CB8"/>
    <w:rsid w:val="4CA12173"/>
    <w:rsid w:val="4DA21411"/>
    <w:rsid w:val="4E5A4B50"/>
    <w:rsid w:val="4E5C3EC1"/>
    <w:rsid w:val="4EA72808"/>
    <w:rsid w:val="4F881B7B"/>
    <w:rsid w:val="50440BF0"/>
    <w:rsid w:val="50473C4E"/>
    <w:rsid w:val="50F43E56"/>
    <w:rsid w:val="51263666"/>
    <w:rsid w:val="51891B1A"/>
    <w:rsid w:val="52554B24"/>
    <w:rsid w:val="537C285E"/>
    <w:rsid w:val="545A2A57"/>
    <w:rsid w:val="549D7F77"/>
    <w:rsid w:val="563776E5"/>
    <w:rsid w:val="566A2A8A"/>
    <w:rsid w:val="5675453B"/>
    <w:rsid w:val="581A0F47"/>
    <w:rsid w:val="58C17DE0"/>
    <w:rsid w:val="58CC669E"/>
    <w:rsid w:val="5AA05505"/>
    <w:rsid w:val="5AF23E1B"/>
    <w:rsid w:val="5BB001B5"/>
    <w:rsid w:val="5C5D33DC"/>
    <w:rsid w:val="5E081E7B"/>
    <w:rsid w:val="5E5E0125"/>
    <w:rsid w:val="60AA3668"/>
    <w:rsid w:val="60C1204A"/>
    <w:rsid w:val="624917AD"/>
    <w:rsid w:val="62960309"/>
    <w:rsid w:val="65C116EC"/>
    <w:rsid w:val="668502B2"/>
    <w:rsid w:val="66CC0CB1"/>
    <w:rsid w:val="67E8203D"/>
    <w:rsid w:val="6802698D"/>
    <w:rsid w:val="686A3B9B"/>
    <w:rsid w:val="69F043A2"/>
    <w:rsid w:val="6A4B1C23"/>
    <w:rsid w:val="6B385CE2"/>
    <w:rsid w:val="6B9F52F2"/>
    <w:rsid w:val="6C170377"/>
    <w:rsid w:val="6C7A0EEC"/>
    <w:rsid w:val="6C911CAB"/>
    <w:rsid w:val="6D024D9E"/>
    <w:rsid w:val="6E1408F4"/>
    <w:rsid w:val="72DC5AFF"/>
    <w:rsid w:val="7316469B"/>
    <w:rsid w:val="737A4BD0"/>
    <w:rsid w:val="73DD6CA9"/>
    <w:rsid w:val="74675603"/>
    <w:rsid w:val="74E555AD"/>
    <w:rsid w:val="75BF5C1C"/>
    <w:rsid w:val="78177007"/>
    <w:rsid w:val="7826497E"/>
    <w:rsid w:val="782D6641"/>
    <w:rsid w:val="794F45FD"/>
    <w:rsid w:val="7957152D"/>
    <w:rsid w:val="79CC3474"/>
    <w:rsid w:val="7AB54580"/>
    <w:rsid w:val="7B78720B"/>
    <w:rsid w:val="7C127881"/>
    <w:rsid w:val="7C5F6F6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v:stroke color="#00B05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19"/>
    <w:qFormat/>
    <w:locked/>
    <w:uiPriority w:val="9"/>
    <w:pPr>
      <w:keepNext/>
      <w:keepLines/>
      <w:spacing w:before="340" w:after="330" w:line="578" w:lineRule="auto"/>
      <w:outlineLvl w:val="0"/>
    </w:pPr>
    <w:rPr>
      <w:rFonts w:cs="Times New Roman"/>
      <w:b/>
      <w:bCs/>
      <w:kern w:val="44"/>
      <w:sz w:val="44"/>
      <w:szCs w:val="44"/>
    </w:rPr>
  </w:style>
  <w:style w:type="paragraph" w:styleId="4">
    <w:name w:val="heading 2"/>
    <w:basedOn w:val="1"/>
    <w:next w:val="1"/>
    <w:link w:val="20"/>
    <w:qFormat/>
    <w:locked/>
    <w:uiPriority w:val="9"/>
    <w:pPr>
      <w:keepNext/>
      <w:keepLines/>
      <w:spacing w:before="260" w:after="260" w:line="416" w:lineRule="auto"/>
      <w:outlineLvl w:val="1"/>
    </w:pPr>
    <w:rPr>
      <w:rFonts w:ascii="Cambria" w:hAnsi="Cambria" w:cs="Times New Roman"/>
      <w:b/>
      <w:bCs/>
      <w:sz w:val="32"/>
      <w:szCs w:val="32"/>
    </w:rPr>
  </w:style>
  <w:style w:type="character" w:default="1" w:styleId="14">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link w:val="18"/>
    <w:uiPriority w:val="99"/>
    <w:pPr>
      <w:spacing w:beforeLines="30"/>
    </w:pPr>
    <w:rPr>
      <w:rFonts w:ascii="仿宋_GB2312" w:eastAsia="仿宋_GB2312" w:cs="Times New Roman"/>
      <w:kern w:val="0"/>
      <w:sz w:val="24"/>
      <w:szCs w:val="20"/>
    </w:rPr>
  </w:style>
  <w:style w:type="paragraph" w:styleId="5">
    <w:name w:val="toc 3"/>
    <w:basedOn w:val="1"/>
    <w:next w:val="1"/>
    <w:unhideWhenUsed/>
    <w:qFormat/>
    <w:locked/>
    <w:uiPriority w:val="39"/>
    <w:pPr>
      <w:tabs>
        <w:tab w:val="right" w:leader="dot" w:pos="8296"/>
      </w:tabs>
      <w:ind w:left="840" w:leftChars="400"/>
    </w:pPr>
    <w:rPr>
      <w:rFonts w:cs="Times New Roman"/>
      <w:szCs w:val="24"/>
    </w:rPr>
  </w:style>
  <w:style w:type="paragraph" w:styleId="6">
    <w:name w:val="Balloon Text"/>
    <w:basedOn w:val="1"/>
    <w:link w:val="21"/>
    <w:unhideWhenUsed/>
    <w:uiPriority w:val="99"/>
    <w:rPr>
      <w:rFonts w:cs="Times New Roman"/>
      <w:sz w:val="18"/>
      <w:szCs w:val="18"/>
    </w:rPr>
  </w:style>
  <w:style w:type="paragraph" w:styleId="7">
    <w:name w:val="footer"/>
    <w:basedOn w:val="1"/>
    <w:link w:val="22"/>
    <w:uiPriority w:val="99"/>
    <w:pPr>
      <w:tabs>
        <w:tab w:val="center" w:pos="4153"/>
        <w:tab w:val="right" w:pos="8306"/>
      </w:tabs>
      <w:snapToGrid w:val="0"/>
      <w:jc w:val="left"/>
    </w:pPr>
    <w:rPr>
      <w:sz w:val="18"/>
      <w:szCs w:val="18"/>
    </w:rPr>
  </w:style>
  <w:style w:type="paragraph" w:styleId="8">
    <w:name w:val="header"/>
    <w:basedOn w:val="1"/>
    <w:link w:val="23"/>
    <w:semiHidden/>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locked/>
    <w:uiPriority w:val="39"/>
    <w:pPr>
      <w:tabs>
        <w:tab w:val="right" w:leader="dot" w:pos="8296"/>
      </w:tabs>
      <w:spacing w:before="93"/>
      <w:jc w:val="center"/>
    </w:pPr>
    <w:rPr>
      <w:rFonts w:ascii="仿宋" w:hAnsi="仿宋" w:eastAsia="仿宋" w:cs="Times New Roman"/>
      <w:sz w:val="28"/>
      <w:szCs w:val="28"/>
      <w:lang w:val="en-US" w:eastAsia="zh-CN"/>
    </w:rPr>
  </w:style>
  <w:style w:type="paragraph" w:styleId="10">
    <w:name w:val="toc 2"/>
    <w:basedOn w:val="1"/>
    <w:next w:val="1"/>
    <w:unhideWhenUsed/>
    <w:qFormat/>
    <w:locked/>
    <w:uiPriority w:val="39"/>
    <w:pPr>
      <w:tabs>
        <w:tab w:val="right" w:leader="dot" w:pos="8296"/>
      </w:tabs>
      <w:ind w:left="420" w:leftChars="200"/>
    </w:pPr>
    <w:rPr>
      <w:rFonts w:cs="Times New Roman"/>
      <w:szCs w:val="24"/>
    </w:rPr>
  </w:style>
  <w:style w:type="paragraph" w:styleId="11">
    <w:name w:val="Normal (Web)"/>
    <w:basedOn w:val="1"/>
    <w:unhideWhenUsed/>
    <w:uiPriority w:val="99"/>
    <w:pPr>
      <w:spacing w:before="100" w:beforeAutospacing="1" w:after="100" w:afterAutospacing="1"/>
      <w:jc w:val="left"/>
    </w:pPr>
    <w:rPr>
      <w:rFonts w:cs="Times New Roman"/>
      <w:kern w:val="0"/>
      <w:sz w:val="24"/>
    </w:rPr>
  </w:style>
  <w:style w:type="table" w:styleId="13">
    <w:name w:val="Table Grid"/>
    <w:basedOn w:val="12"/>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page number"/>
    <w:basedOn w:val="14"/>
    <w:uiPriority w:val="99"/>
  </w:style>
  <w:style w:type="character" w:styleId="17">
    <w:name w:val="Hyperlink"/>
    <w:basedOn w:val="14"/>
    <w:unhideWhenUsed/>
    <w:qFormat/>
    <w:uiPriority w:val="99"/>
    <w:rPr>
      <w:color w:val="0000FF"/>
      <w:u w:val="single"/>
    </w:rPr>
  </w:style>
  <w:style w:type="character" w:customStyle="1" w:styleId="18">
    <w:name w:val="正文文本 Char"/>
    <w:basedOn w:val="14"/>
    <w:link w:val="2"/>
    <w:uiPriority w:val="99"/>
    <w:rPr>
      <w:rFonts w:ascii="仿宋_GB2312" w:hAnsi="Times New Roman" w:eastAsia="仿宋_GB2312"/>
      <w:sz w:val="24"/>
    </w:rPr>
  </w:style>
  <w:style w:type="character" w:customStyle="1" w:styleId="19">
    <w:name w:val="标题 1 Char"/>
    <w:basedOn w:val="14"/>
    <w:link w:val="3"/>
    <w:qFormat/>
    <w:uiPriority w:val="9"/>
    <w:rPr>
      <w:rFonts w:ascii="Times New Roman" w:hAnsi="Times New Roman"/>
      <w:b/>
      <w:bCs/>
      <w:kern w:val="44"/>
      <w:sz w:val="44"/>
      <w:szCs w:val="44"/>
    </w:rPr>
  </w:style>
  <w:style w:type="character" w:customStyle="1" w:styleId="20">
    <w:name w:val="标题 2 Char"/>
    <w:basedOn w:val="14"/>
    <w:link w:val="4"/>
    <w:uiPriority w:val="9"/>
    <w:rPr>
      <w:rFonts w:ascii="Cambria" w:hAnsi="Cambria"/>
      <w:b/>
      <w:bCs/>
      <w:kern w:val="2"/>
      <w:sz w:val="32"/>
      <w:szCs w:val="32"/>
    </w:rPr>
  </w:style>
  <w:style w:type="character" w:customStyle="1" w:styleId="21">
    <w:name w:val="批注框文本 Char"/>
    <w:basedOn w:val="14"/>
    <w:link w:val="6"/>
    <w:semiHidden/>
    <w:uiPriority w:val="99"/>
    <w:rPr>
      <w:rFonts w:ascii="Times New Roman" w:hAnsi="Times New Roman"/>
      <w:kern w:val="2"/>
      <w:sz w:val="18"/>
      <w:szCs w:val="18"/>
    </w:rPr>
  </w:style>
  <w:style w:type="character" w:customStyle="1" w:styleId="22">
    <w:name w:val="页脚 Char"/>
    <w:basedOn w:val="14"/>
    <w:link w:val="7"/>
    <w:locked/>
    <w:uiPriority w:val="99"/>
    <w:rPr>
      <w:sz w:val="18"/>
      <w:szCs w:val="18"/>
    </w:rPr>
  </w:style>
  <w:style w:type="character" w:customStyle="1" w:styleId="23">
    <w:name w:val="页眉 Char"/>
    <w:basedOn w:val="14"/>
    <w:link w:val="8"/>
    <w:semiHidden/>
    <w:qFormat/>
    <w:locked/>
    <w:uiPriority w:val="99"/>
    <w:rPr>
      <w:sz w:val="18"/>
      <w:szCs w:val="18"/>
    </w:rPr>
  </w:style>
  <w:style w:type="character" w:customStyle="1" w:styleId="24">
    <w:name w:val="Footer Char"/>
    <w:basedOn w:val="14"/>
    <w:semiHidden/>
    <w:uiPriority w:val="99"/>
    <w:rPr>
      <w:rFonts w:ascii="Times New Roman" w:hAnsi="Times New Roman"/>
      <w:sz w:val="18"/>
      <w:szCs w:val="18"/>
    </w:rPr>
  </w:style>
  <w:style w:type="character" w:customStyle="1" w:styleId="25">
    <w:name w:val="Header Char"/>
    <w:basedOn w:val="14"/>
    <w:semiHidden/>
    <w:uiPriority w:val="99"/>
    <w:rPr>
      <w:rFonts w:ascii="Times New Roman" w:hAnsi="Times New Roman"/>
      <w:sz w:val="18"/>
      <w:szCs w:val="18"/>
    </w:rPr>
  </w:style>
  <w:style w:type="character" w:customStyle="1" w:styleId="26">
    <w:name w:val="Body Text Char"/>
    <w:basedOn w:val="14"/>
    <w:semiHidden/>
    <w:uiPriority w:val="99"/>
    <w:rPr>
      <w:rFonts w:ascii="Times New Roman" w:hAnsi="Times New Roman"/>
      <w:szCs w:val="24"/>
    </w:rPr>
  </w:style>
  <w:style w:type="paragraph" w:customStyle="1" w:styleId="27">
    <w:name w:val="Char Char Char1 Char Char Char Char Char Char Char Char Char Char Char Char Char"/>
    <w:basedOn w:val="1"/>
    <w:uiPriority w:val="99"/>
    <w:rPr>
      <w:rFonts w:eastAsia="仿宋_GB2312" w:cs="Times New Roman"/>
      <w:sz w:val="32"/>
      <w:szCs w:val="32"/>
    </w:rPr>
  </w:style>
  <w:style w:type="paragraph" w:customStyle="1" w:styleId="28">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WPSOffice手动目录 1"/>
    <w:uiPriority w:val="0"/>
    <w:rPr>
      <w:rFonts w:ascii="仿宋" w:hAnsi="仿宋" w:eastAsia="仿宋" w:cs="仿宋"/>
      <w:sz w:val="32"/>
      <w:szCs w:val="32"/>
      <w:lang w:val="en-US" w:eastAsia="zh-CN" w:bidi="ar-SA"/>
    </w:rPr>
  </w:style>
  <w:style w:type="paragraph" w:customStyle="1" w:styleId="30">
    <w:name w:val="Defaul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31">
    <w:name w:val="List Paragraph"/>
    <w:basedOn w:val="1"/>
    <w:qFormat/>
    <w:uiPriority w:val="99"/>
    <w:pPr>
      <w:ind w:firstLine="420" w:firstLineChars="200"/>
    </w:pPr>
    <w:rPr>
      <w:rFonts w:cs="Times New Roman"/>
      <w:szCs w:val="24"/>
    </w:rPr>
  </w:style>
  <w:style w:type="paragraph" w:customStyle="1" w:styleId="32">
    <w:name w:val="Char Char Char1 Char"/>
    <w:basedOn w:val="1"/>
    <w:uiPriority w:val="99"/>
    <w:rPr>
      <w:rFonts w:cs="Times New Roman"/>
    </w:rPr>
  </w:style>
  <w:style w:type="paragraph" w:customStyle="1" w:styleId="33">
    <w:name w:val="WPSOffice手动目录 3"/>
    <w:uiPriority w:val="0"/>
    <w:pPr>
      <w:ind w:leftChars="400"/>
    </w:pPr>
    <w:rPr>
      <w:rFonts w:ascii="Times New Roman" w:hAnsi="Times New Roman" w:eastAsia="宋体" w:cs="Times New Roman"/>
      <w:lang w:val="en-US" w:eastAsia="zh-CN" w:bidi="ar-SA"/>
    </w:rPr>
  </w:style>
  <w:style w:type="paragraph" w:customStyle="1" w:styleId="34">
    <w:name w:val="WPSOffice手动目录 2"/>
    <w:uiPriority w:val="0"/>
    <w:pPr>
      <w:ind w:leftChars="200"/>
    </w:pPr>
    <w:rPr>
      <w:rFonts w:ascii="仿宋" w:hAnsi="仿宋" w:eastAsia="宋体" w:cs="仿宋"/>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7419"/>
    <customShpInfo spid="_x0000_s17420"/>
    <customShpInfo spid="_x0000_s1030"/>
    <customShpInfo spid="_x0000_s1029"/>
    <customShpInfo spid="_x0000_s1031"/>
    <customShpInfo spid="_x0000_s1032"/>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4623B-8B30-487B-B3A4-339EF94A118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9286</Words>
  <Characters>4170</Characters>
  <Lines>34</Lines>
  <Paragraphs>26</Paragraphs>
  <TotalTime>0</TotalTime>
  <ScaleCrop>false</ScaleCrop>
  <LinksUpToDate>false</LinksUpToDate>
  <CharactersWithSpaces>13430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2022-08-26T08:07:00Z</dcterms:created>
  <dc:creator>people</dc:creator>
  <cp:lastModifiedBy>anan</cp:lastModifiedBy>
  <cp:lastPrinted>2021-09-07T03:47:00Z</cp:lastPrinted>
  <dcterms:modified xsi:type="dcterms:W3CDTF">2022-11-14T03:50:37Z</dcterms:modified>
  <dc:title>川编办〔2017〕X号                     签发人：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3E9E51507DD2401B814A235194E60003</vt:lpwstr>
  </property>
</Properties>
</file>